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12E5" w14:textId="77777777" w:rsidR="00132B46" w:rsidRDefault="00132B46" w:rsidP="00532E2F">
      <w:pPr>
        <w:jc w:val="center"/>
        <w:rPr>
          <w:b/>
          <w:bCs/>
          <w:color w:val="C00000"/>
          <w:w w:val="105"/>
          <w:sz w:val="24"/>
          <w:szCs w:val="24"/>
        </w:rPr>
      </w:pPr>
    </w:p>
    <w:p w14:paraId="04EFC179" w14:textId="77777777" w:rsidR="00D728BB" w:rsidRPr="00B41FD0" w:rsidRDefault="00D728BB" w:rsidP="00D728BB">
      <w:pPr>
        <w:spacing w:line="300" w:lineRule="atLeast"/>
        <w:jc w:val="both"/>
      </w:pPr>
      <w:r w:rsidRPr="00B41FD0">
        <w:t xml:space="preserve">The New Jersey Hospital Association’s (“NJHA”) Federal/State Surprise Billing Requirements Toolkit (“Materials”) is intended to serve as tools that member hospitals may use to implement and comply with the requirements of both the New Jersey “Out-of-network Consumer Protection, Transparency, Cost Containment and Accountability Act” and the federal “No Surprises Act.”  Member hospitals should not regard any information provided in these Materials as specific legal advice, and they should consult with their own legal counsel for additional guidance as appropriate. NJHA and any other party involved in creating, producing, or delivering these Materials shall not be liable for any direct, incidental, consequential, indirect, or punitive damages arising out of the use of these Materials. The further distribution of these Materials is prohibited without the prior written consent of NJHA. </w:t>
      </w:r>
    </w:p>
    <w:p w14:paraId="7CDDDEF3" w14:textId="77777777" w:rsidR="00D728BB" w:rsidRPr="00B41FD0" w:rsidRDefault="00D728BB" w:rsidP="00D728BB">
      <w:pPr>
        <w:spacing w:line="300" w:lineRule="atLeast"/>
        <w:jc w:val="both"/>
      </w:pPr>
      <w:r w:rsidRPr="00B41FD0">
        <w:t xml:space="preserve">The information contained within the Materials is provided to assist members’ compliance efforts to protect consumers from surprise medical bills as required by law effective Jan. 1, 2022.  However, it must be noted that the federal law requirements were issued as interim final rules—that are subject to change and are only accurate as of the date released. </w:t>
      </w:r>
    </w:p>
    <w:p w14:paraId="6CA3FC29" w14:textId="77777777" w:rsidR="00D728BB" w:rsidRDefault="00D728BB">
      <w:pPr>
        <w:rPr>
          <w:b/>
          <w:bCs/>
          <w:color w:val="0070C0"/>
          <w:w w:val="105"/>
          <w:sz w:val="24"/>
          <w:szCs w:val="24"/>
        </w:rPr>
      </w:pPr>
      <w:r>
        <w:rPr>
          <w:b/>
          <w:bCs/>
          <w:color w:val="0070C0"/>
          <w:w w:val="105"/>
          <w:sz w:val="24"/>
          <w:szCs w:val="24"/>
        </w:rPr>
        <w:br w:type="page"/>
      </w:r>
    </w:p>
    <w:p w14:paraId="5400D5C9" w14:textId="57EAFACA" w:rsidR="00532E2F" w:rsidRPr="000406AD" w:rsidRDefault="00532E2F" w:rsidP="00532E2F">
      <w:pPr>
        <w:jc w:val="center"/>
        <w:rPr>
          <w:b/>
          <w:bCs/>
          <w:color w:val="0070C0"/>
          <w:w w:val="105"/>
          <w:sz w:val="24"/>
          <w:szCs w:val="24"/>
        </w:rPr>
      </w:pPr>
      <w:r w:rsidRPr="000406AD">
        <w:rPr>
          <w:b/>
          <w:bCs/>
          <w:color w:val="0070C0"/>
          <w:w w:val="105"/>
          <w:sz w:val="24"/>
          <w:szCs w:val="24"/>
        </w:rPr>
        <w:lastRenderedPageBreak/>
        <w:t>Federal/State Surprise Billing Notice and Consent Resource</w:t>
      </w:r>
      <w:r w:rsidR="00057E5C" w:rsidRPr="000406AD">
        <w:rPr>
          <w:b/>
          <w:bCs/>
          <w:color w:val="0070C0"/>
          <w:w w:val="105"/>
          <w:sz w:val="24"/>
          <w:szCs w:val="24"/>
        </w:rPr>
        <w:t xml:space="preserve"> </w:t>
      </w:r>
      <w:r w:rsidR="00132B46" w:rsidRPr="000406AD">
        <w:rPr>
          <w:b/>
          <w:bCs/>
          <w:color w:val="0070C0"/>
          <w:w w:val="105"/>
          <w:sz w:val="24"/>
          <w:szCs w:val="24"/>
        </w:rPr>
        <w:t>for</w:t>
      </w:r>
      <w:r w:rsidR="00057E5C" w:rsidRPr="000406AD">
        <w:rPr>
          <w:b/>
          <w:bCs/>
          <w:color w:val="0070C0"/>
          <w:w w:val="105"/>
          <w:sz w:val="24"/>
          <w:szCs w:val="24"/>
        </w:rPr>
        <w:t xml:space="preserve"> Patient Billing</w:t>
      </w:r>
    </w:p>
    <w:p w14:paraId="5662AB86" w14:textId="77777777" w:rsidR="00532E2F" w:rsidRPr="00EF6FDF" w:rsidRDefault="00532E2F">
      <w:pPr>
        <w:rPr>
          <w:rFonts w:ascii="Times New Roman" w:hAnsi="Times New Roman" w:cs="Times New Roman"/>
          <w:bCs/>
          <w:w w:val="105"/>
          <w:sz w:val="24"/>
          <w:szCs w:val="24"/>
        </w:rPr>
      </w:pPr>
    </w:p>
    <w:p w14:paraId="7E1D5FD4" w14:textId="7861907B" w:rsidR="00CF1D77" w:rsidRPr="00132B46" w:rsidRDefault="003B085A" w:rsidP="00132B46">
      <w:pPr>
        <w:jc w:val="both"/>
        <w:rPr>
          <w:w w:val="105"/>
        </w:rPr>
      </w:pPr>
      <w:r w:rsidRPr="00132B46">
        <w:rPr>
          <w:w w:val="105"/>
        </w:rPr>
        <w:t xml:space="preserve">The federal No Surprises Act and </w:t>
      </w:r>
      <w:r w:rsidR="009F253F" w:rsidRPr="00132B46">
        <w:rPr>
          <w:w w:val="105"/>
        </w:rPr>
        <w:t>New Jersey’s</w:t>
      </w:r>
      <w:r w:rsidRPr="00132B46">
        <w:rPr>
          <w:w w:val="105"/>
        </w:rPr>
        <w:t xml:space="preserve"> Out-of-Network law </w:t>
      </w:r>
      <w:r w:rsidR="00CF1D77" w:rsidRPr="00132B46">
        <w:rPr>
          <w:w w:val="105"/>
        </w:rPr>
        <w:t xml:space="preserve">are both intended to minimize the instances in which a consumer </w:t>
      </w:r>
      <w:r w:rsidR="009F253F" w:rsidRPr="00132B46">
        <w:rPr>
          <w:w w:val="105"/>
        </w:rPr>
        <w:t>receives a</w:t>
      </w:r>
      <w:r w:rsidR="00CF1D77" w:rsidRPr="00132B46">
        <w:rPr>
          <w:w w:val="105"/>
        </w:rPr>
        <w:t xml:space="preserve"> surprise medical bil</w:t>
      </w:r>
      <w:r w:rsidR="009F253F" w:rsidRPr="00132B46">
        <w:rPr>
          <w:w w:val="105"/>
        </w:rPr>
        <w:t>l</w:t>
      </w:r>
      <w:r w:rsidR="00CF1D77" w:rsidRPr="00132B46">
        <w:rPr>
          <w:w w:val="105"/>
        </w:rPr>
        <w:t xml:space="preserve">. </w:t>
      </w:r>
    </w:p>
    <w:p w14:paraId="34D1FDC7" w14:textId="77777777" w:rsidR="00CF1D77" w:rsidRPr="00132B46" w:rsidRDefault="00CF1D77" w:rsidP="00132B46">
      <w:pPr>
        <w:jc w:val="both"/>
        <w:rPr>
          <w:w w:val="105"/>
        </w:rPr>
      </w:pPr>
    </w:p>
    <w:p w14:paraId="22E3DC20" w14:textId="77777777" w:rsidR="009F6685" w:rsidRPr="00132B46" w:rsidRDefault="009F253F" w:rsidP="00132B46">
      <w:pPr>
        <w:jc w:val="both"/>
        <w:rPr>
          <w:w w:val="105"/>
        </w:rPr>
      </w:pPr>
      <w:r w:rsidRPr="00132B46">
        <w:rPr>
          <w:w w:val="105"/>
        </w:rPr>
        <w:t>B</w:t>
      </w:r>
      <w:r w:rsidR="008B606C" w:rsidRPr="00132B46">
        <w:rPr>
          <w:w w:val="105"/>
        </w:rPr>
        <w:t xml:space="preserve">oth laws have </w:t>
      </w:r>
      <w:r w:rsidR="009F3F73" w:rsidRPr="00132B46">
        <w:rPr>
          <w:w w:val="105"/>
        </w:rPr>
        <w:t xml:space="preserve">strict </w:t>
      </w:r>
      <w:r w:rsidR="008B606C" w:rsidRPr="00132B46">
        <w:rPr>
          <w:w w:val="105"/>
        </w:rPr>
        <w:t xml:space="preserve">notice and consent requirements </w:t>
      </w:r>
      <w:r w:rsidRPr="00132B46">
        <w:rPr>
          <w:w w:val="105"/>
        </w:rPr>
        <w:t>related to</w:t>
      </w:r>
      <w:r w:rsidR="003A20FC" w:rsidRPr="00132B46">
        <w:rPr>
          <w:w w:val="105"/>
        </w:rPr>
        <w:t xml:space="preserve"> </w:t>
      </w:r>
      <w:r w:rsidR="00AD1FD1" w:rsidRPr="00132B46">
        <w:rPr>
          <w:w w:val="105"/>
        </w:rPr>
        <w:t xml:space="preserve">when an individual can be billed </w:t>
      </w:r>
      <w:r w:rsidRPr="00132B46">
        <w:rPr>
          <w:w w:val="105"/>
        </w:rPr>
        <w:t>more than their</w:t>
      </w:r>
      <w:r w:rsidR="003A20FC" w:rsidRPr="00132B46">
        <w:rPr>
          <w:w w:val="105"/>
        </w:rPr>
        <w:t xml:space="preserve"> </w:t>
      </w:r>
      <w:r w:rsidR="00141EF3" w:rsidRPr="00132B46">
        <w:rPr>
          <w:w w:val="105"/>
        </w:rPr>
        <w:t>in-network cost-sharing amounts</w:t>
      </w:r>
      <w:r w:rsidR="009F6685" w:rsidRPr="00132B46">
        <w:rPr>
          <w:w w:val="105"/>
        </w:rPr>
        <w:t>.</w:t>
      </w:r>
    </w:p>
    <w:p w14:paraId="1EA730A1" w14:textId="77777777" w:rsidR="009F6685" w:rsidRPr="00132B46" w:rsidRDefault="009F6685" w:rsidP="00132B46">
      <w:pPr>
        <w:jc w:val="both"/>
        <w:rPr>
          <w:w w:val="105"/>
        </w:rPr>
      </w:pPr>
    </w:p>
    <w:p w14:paraId="3D84542D" w14:textId="6CFFB02C" w:rsidR="00426122" w:rsidRPr="00132B46" w:rsidRDefault="009F6685" w:rsidP="00132B46">
      <w:pPr>
        <w:jc w:val="both"/>
        <w:rPr>
          <w:w w:val="105"/>
        </w:rPr>
      </w:pPr>
      <w:r w:rsidRPr="00132B46">
        <w:rPr>
          <w:w w:val="105"/>
        </w:rPr>
        <w:t>Both laws also include notice requirements</w:t>
      </w:r>
      <w:r w:rsidR="00C96BA0">
        <w:rPr>
          <w:w w:val="105"/>
        </w:rPr>
        <w:t xml:space="preserve"> </w:t>
      </w:r>
      <w:r w:rsidRPr="00132B46">
        <w:rPr>
          <w:w w:val="105"/>
        </w:rPr>
        <w:t xml:space="preserve">regarding </w:t>
      </w:r>
      <w:r w:rsidR="00141EF3" w:rsidRPr="00132B46">
        <w:rPr>
          <w:w w:val="105"/>
        </w:rPr>
        <w:t>the forms</w:t>
      </w:r>
      <w:r w:rsidR="009F253F" w:rsidRPr="00132B46">
        <w:rPr>
          <w:w w:val="105"/>
        </w:rPr>
        <w:t xml:space="preserve"> the individual</w:t>
      </w:r>
      <w:r w:rsidR="00141EF3" w:rsidRPr="00132B46">
        <w:rPr>
          <w:w w:val="105"/>
        </w:rPr>
        <w:t xml:space="preserve"> must complete</w:t>
      </w:r>
      <w:r w:rsidR="009F253F" w:rsidRPr="00132B46">
        <w:rPr>
          <w:w w:val="105"/>
        </w:rPr>
        <w:t xml:space="preserve"> that permit</w:t>
      </w:r>
      <w:r w:rsidR="00141EF3" w:rsidRPr="00132B46">
        <w:rPr>
          <w:w w:val="105"/>
        </w:rPr>
        <w:t xml:space="preserve"> the p</w:t>
      </w:r>
      <w:r w:rsidR="00650B20" w:rsidRPr="00132B46">
        <w:rPr>
          <w:w w:val="105"/>
        </w:rPr>
        <w:t>rovider to bill</w:t>
      </w:r>
      <w:r w:rsidRPr="00132B46">
        <w:rPr>
          <w:w w:val="105"/>
        </w:rPr>
        <w:t xml:space="preserve"> them for services</w:t>
      </w:r>
      <w:r w:rsidR="00141EF3" w:rsidRPr="00132B46">
        <w:rPr>
          <w:w w:val="105"/>
        </w:rPr>
        <w:t xml:space="preserve">. </w:t>
      </w:r>
      <w:r w:rsidRPr="00132B46">
        <w:rPr>
          <w:w w:val="105"/>
        </w:rPr>
        <w:t xml:space="preserve">They also require </w:t>
      </w:r>
      <w:r w:rsidR="004C7C8E" w:rsidRPr="00132B46">
        <w:rPr>
          <w:w w:val="105"/>
        </w:rPr>
        <w:t>provider</w:t>
      </w:r>
      <w:r w:rsidRPr="00132B46">
        <w:rPr>
          <w:w w:val="105"/>
        </w:rPr>
        <w:t>s</w:t>
      </w:r>
      <w:r w:rsidR="00426122" w:rsidRPr="00132B46">
        <w:rPr>
          <w:w w:val="105"/>
        </w:rPr>
        <w:t xml:space="preserve"> </w:t>
      </w:r>
      <w:r w:rsidRPr="00132B46">
        <w:rPr>
          <w:w w:val="105"/>
        </w:rPr>
        <w:t xml:space="preserve">to </w:t>
      </w:r>
      <w:r w:rsidR="009F253F" w:rsidRPr="00132B46">
        <w:rPr>
          <w:w w:val="105"/>
        </w:rPr>
        <w:t>obtain signed form</w:t>
      </w:r>
      <w:r w:rsidR="004C7C8E" w:rsidRPr="00132B46">
        <w:rPr>
          <w:w w:val="105"/>
        </w:rPr>
        <w:t>s</w:t>
      </w:r>
      <w:r w:rsidRPr="00132B46">
        <w:rPr>
          <w:w w:val="105"/>
        </w:rPr>
        <w:t>,</w:t>
      </w:r>
      <w:r w:rsidR="009F253F" w:rsidRPr="00132B46">
        <w:rPr>
          <w:w w:val="105"/>
        </w:rPr>
        <w:t xml:space="preserve"> which the provider must keep</w:t>
      </w:r>
      <w:r w:rsidR="00FD4E07" w:rsidRPr="00132B46">
        <w:rPr>
          <w:w w:val="105"/>
        </w:rPr>
        <w:t xml:space="preserve"> on file, </w:t>
      </w:r>
      <w:r w:rsidRPr="00132B46">
        <w:rPr>
          <w:w w:val="105"/>
        </w:rPr>
        <w:t xml:space="preserve">and </w:t>
      </w:r>
      <w:r w:rsidR="00A91332" w:rsidRPr="00132B46">
        <w:rPr>
          <w:w w:val="105"/>
        </w:rPr>
        <w:t xml:space="preserve">to provide good faith estimates </w:t>
      </w:r>
      <w:r w:rsidR="009F253F" w:rsidRPr="00132B46">
        <w:rPr>
          <w:w w:val="105"/>
        </w:rPr>
        <w:t xml:space="preserve">of </w:t>
      </w:r>
      <w:r w:rsidR="00A91332" w:rsidRPr="00132B46">
        <w:rPr>
          <w:w w:val="105"/>
        </w:rPr>
        <w:t xml:space="preserve">out-of-network costs. </w:t>
      </w:r>
      <w:r w:rsidR="00190DC8" w:rsidRPr="00132B46">
        <w:rPr>
          <w:w w:val="105"/>
        </w:rPr>
        <w:t xml:space="preserve"> </w:t>
      </w:r>
      <w:r w:rsidR="009F253F" w:rsidRPr="00132B46">
        <w:rPr>
          <w:w w:val="105"/>
        </w:rPr>
        <w:t>At this time,</w:t>
      </w:r>
      <w:r w:rsidR="00190DC8" w:rsidRPr="00132B46">
        <w:rPr>
          <w:w w:val="105"/>
        </w:rPr>
        <w:t xml:space="preserve"> good faith estimates </w:t>
      </w:r>
      <w:r w:rsidR="00597B60" w:rsidRPr="00132B46">
        <w:rPr>
          <w:w w:val="105"/>
        </w:rPr>
        <w:t>only need to be provided to uninsured and self-pay patients</w:t>
      </w:r>
      <w:r w:rsidR="00071828" w:rsidRPr="00132B46">
        <w:rPr>
          <w:w w:val="105"/>
        </w:rPr>
        <w:t xml:space="preserve">.  </w:t>
      </w:r>
      <w:r w:rsidR="009F253F" w:rsidRPr="00132B46">
        <w:rPr>
          <w:w w:val="105"/>
        </w:rPr>
        <w:t xml:space="preserve">We are awaiting additional federal </w:t>
      </w:r>
      <w:r w:rsidR="00D86AE4" w:rsidRPr="00132B46">
        <w:rPr>
          <w:w w:val="105"/>
        </w:rPr>
        <w:t xml:space="preserve">guidance </w:t>
      </w:r>
      <w:r w:rsidR="004B2350" w:rsidRPr="00132B46">
        <w:rPr>
          <w:w w:val="105"/>
        </w:rPr>
        <w:t xml:space="preserve">concerning good faith estimates for individuals </w:t>
      </w:r>
      <w:r w:rsidR="004E63F5" w:rsidRPr="00132B46">
        <w:rPr>
          <w:w w:val="105"/>
        </w:rPr>
        <w:t xml:space="preserve">with insurance coverage before </w:t>
      </w:r>
      <w:r w:rsidR="00230F89" w:rsidRPr="00132B46">
        <w:rPr>
          <w:w w:val="105"/>
        </w:rPr>
        <w:t xml:space="preserve">providers will be obligated to comply. </w:t>
      </w:r>
    </w:p>
    <w:p w14:paraId="089C6B81" w14:textId="0E1AD844" w:rsidR="00AA140D" w:rsidRDefault="00AA140D" w:rsidP="00426122">
      <w:pPr>
        <w:rPr>
          <w:rFonts w:ascii="Times New Roman" w:hAnsi="Times New Roman" w:cs="Times New Roman"/>
          <w:bCs/>
          <w:w w:val="105"/>
          <w:sz w:val="24"/>
          <w:szCs w:val="24"/>
        </w:rPr>
      </w:pPr>
    </w:p>
    <w:p w14:paraId="36E77282" w14:textId="4E3645C0" w:rsidR="007540AC" w:rsidRPr="000406AD" w:rsidRDefault="0064217E" w:rsidP="00426122">
      <w:pPr>
        <w:rPr>
          <w:b/>
          <w:bCs/>
          <w:color w:val="0070C0"/>
          <w:w w:val="105"/>
          <w:sz w:val="24"/>
          <w:szCs w:val="24"/>
        </w:rPr>
      </w:pPr>
      <w:r w:rsidRPr="000406AD">
        <w:rPr>
          <w:b/>
          <w:bCs/>
          <w:color w:val="0070C0"/>
          <w:w w:val="105"/>
          <w:sz w:val="24"/>
          <w:szCs w:val="24"/>
        </w:rPr>
        <w:t xml:space="preserve">Providers/Services Covered </w:t>
      </w:r>
    </w:p>
    <w:p w14:paraId="4AD32669" w14:textId="77777777" w:rsidR="007540AC" w:rsidRDefault="007540AC" w:rsidP="00426122">
      <w:pPr>
        <w:rPr>
          <w:rFonts w:ascii="Times New Roman" w:hAnsi="Times New Roman" w:cs="Times New Roman"/>
          <w:bCs/>
          <w:w w:val="105"/>
          <w:sz w:val="24"/>
          <w:szCs w:val="24"/>
        </w:rPr>
      </w:pPr>
    </w:p>
    <w:p w14:paraId="55464C8C" w14:textId="51581C59" w:rsidR="006D5FA5" w:rsidRPr="00132B46" w:rsidRDefault="009F253F" w:rsidP="00426122">
      <w:pPr>
        <w:rPr>
          <w:w w:val="105"/>
        </w:rPr>
      </w:pPr>
      <w:r w:rsidRPr="00132B46">
        <w:rPr>
          <w:w w:val="105"/>
        </w:rPr>
        <w:t>T</w:t>
      </w:r>
      <w:r w:rsidR="006D5FA5" w:rsidRPr="00132B46">
        <w:rPr>
          <w:w w:val="105"/>
        </w:rPr>
        <w:t xml:space="preserve">he </w:t>
      </w:r>
      <w:r w:rsidR="004C6C2F" w:rsidRPr="00132B46">
        <w:rPr>
          <w:w w:val="105"/>
        </w:rPr>
        <w:t xml:space="preserve">federal </w:t>
      </w:r>
      <w:r w:rsidR="00A47A9D" w:rsidRPr="00132B46">
        <w:rPr>
          <w:w w:val="105"/>
        </w:rPr>
        <w:t>protections governing wh</w:t>
      </w:r>
      <w:r w:rsidR="004C6C2F" w:rsidRPr="00132B46">
        <w:rPr>
          <w:w w:val="105"/>
        </w:rPr>
        <w:t xml:space="preserve">ich </w:t>
      </w:r>
      <w:r w:rsidR="00A47A9D" w:rsidRPr="00132B46">
        <w:rPr>
          <w:w w:val="105"/>
        </w:rPr>
        <w:t>providers can bill a patient</w:t>
      </w:r>
      <w:r w:rsidR="004C6C2F" w:rsidRPr="00132B46">
        <w:rPr>
          <w:w w:val="105"/>
        </w:rPr>
        <w:t xml:space="preserve"> go beyond </w:t>
      </w:r>
      <w:r w:rsidRPr="00132B46">
        <w:rPr>
          <w:w w:val="105"/>
        </w:rPr>
        <w:t>N</w:t>
      </w:r>
      <w:r w:rsidR="0022309B" w:rsidRPr="00132B46">
        <w:rPr>
          <w:w w:val="105"/>
        </w:rPr>
        <w:t>ew Jersey</w:t>
      </w:r>
      <w:r w:rsidRPr="00132B46">
        <w:rPr>
          <w:w w:val="105"/>
        </w:rPr>
        <w:t>’s requirements</w:t>
      </w:r>
      <w:r w:rsidR="004C6C2F" w:rsidRPr="00132B46">
        <w:rPr>
          <w:w w:val="105"/>
        </w:rPr>
        <w:t xml:space="preserve">.  Therefore, </w:t>
      </w:r>
      <w:r w:rsidR="004F4A8B" w:rsidRPr="00132B46">
        <w:rPr>
          <w:w w:val="105"/>
        </w:rPr>
        <w:t xml:space="preserve">providers </w:t>
      </w:r>
      <w:r w:rsidR="00D86AE4" w:rsidRPr="00132B46">
        <w:rPr>
          <w:w w:val="105"/>
        </w:rPr>
        <w:t>must never</w:t>
      </w:r>
      <w:r w:rsidRPr="00132B46">
        <w:rPr>
          <w:w w:val="105"/>
        </w:rPr>
        <w:t xml:space="preserve"> bill consumers</w:t>
      </w:r>
      <w:r w:rsidR="004F4A8B" w:rsidRPr="00132B46">
        <w:rPr>
          <w:w w:val="105"/>
        </w:rPr>
        <w:t xml:space="preserve"> in the following situations: </w:t>
      </w:r>
    </w:p>
    <w:p w14:paraId="6F579B67" w14:textId="30AA433F" w:rsidR="004F4A8B" w:rsidRPr="00132B46" w:rsidRDefault="004F4A8B" w:rsidP="00426122">
      <w:pPr>
        <w:rPr>
          <w:w w:val="105"/>
        </w:rPr>
      </w:pPr>
    </w:p>
    <w:p w14:paraId="5A2EA195" w14:textId="17B1D43E" w:rsidR="00737D06" w:rsidRPr="00132B46" w:rsidRDefault="00737D06" w:rsidP="00312528">
      <w:pPr>
        <w:pStyle w:val="ListParagraph"/>
        <w:numPr>
          <w:ilvl w:val="0"/>
          <w:numId w:val="7"/>
        </w:numPr>
        <w:rPr>
          <w:w w:val="105"/>
        </w:rPr>
      </w:pPr>
      <w:r w:rsidRPr="00132B46">
        <w:t>The care is for emergency or urgent services</w:t>
      </w:r>
      <w:r w:rsidR="0022309B" w:rsidRPr="00132B46">
        <w:t>.</w:t>
      </w:r>
    </w:p>
    <w:p w14:paraId="02B7E389" w14:textId="6D322EA7" w:rsidR="00737D06" w:rsidRPr="00132B46" w:rsidRDefault="00737D06" w:rsidP="00312528">
      <w:pPr>
        <w:pStyle w:val="ListParagraph"/>
        <w:numPr>
          <w:ilvl w:val="0"/>
          <w:numId w:val="7"/>
        </w:numPr>
        <w:rPr>
          <w:w w:val="105"/>
        </w:rPr>
      </w:pPr>
      <w:r w:rsidRPr="00132B46">
        <w:t>There is no in-network provider available at the facility</w:t>
      </w:r>
      <w:r w:rsidR="0022309B" w:rsidRPr="00132B46">
        <w:t>.</w:t>
      </w:r>
    </w:p>
    <w:p w14:paraId="6AEB6E5A" w14:textId="718B7867" w:rsidR="004F4A8B" w:rsidRPr="00132B46" w:rsidRDefault="00737D06" w:rsidP="00312528">
      <w:pPr>
        <w:pStyle w:val="ListParagraph"/>
        <w:numPr>
          <w:ilvl w:val="0"/>
          <w:numId w:val="7"/>
        </w:numPr>
        <w:rPr>
          <w:w w:val="105"/>
        </w:rPr>
      </w:pPr>
      <w:r w:rsidRPr="00132B46">
        <w:t>The provider is an ancillary provider</w:t>
      </w:r>
      <w:r w:rsidR="0022309B" w:rsidRPr="00132B46">
        <w:t>.</w:t>
      </w:r>
    </w:p>
    <w:p w14:paraId="343F237C" w14:textId="0F469A14" w:rsidR="006D5FA5" w:rsidRDefault="006D5FA5" w:rsidP="00426122">
      <w:pPr>
        <w:rPr>
          <w:rFonts w:ascii="Times New Roman" w:hAnsi="Times New Roman" w:cs="Times New Roman"/>
          <w:bCs/>
          <w:w w:val="105"/>
          <w:sz w:val="24"/>
          <w:szCs w:val="24"/>
        </w:rPr>
      </w:pPr>
    </w:p>
    <w:p w14:paraId="2291A738" w14:textId="2478964F" w:rsidR="005C0038" w:rsidRPr="00132B46" w:rsidRDefault="00D61E94" w:rsidP="00426122">
      <w:pPr>
        <w:rPr>
          <w:w w:val="105"/>
        </w:rPr>
      </w:pPr>
      <w:r w:rsidRPr="00132B46">
        <w:rPr>
          <w:w w:val="105"/>
        </w:rPr>
        <w:t xml:space="preserve">One </w:t>
      </w:r>
      <w:r w:rsidR="009F253F" w:rsidRPr="00132B46">
        <w:rPr>
          <w:w w:val="105"/>
        </w:rPr>
        <w:t>important</w:t>
      </w:r>
      <w:r w:rsidRPr="00132B46">
        <w:rPr>
          <w:w w:val="105"/>
        </w:rPr>
        <w:t xml:space="preserve"> </w:t>
      </w:r>
      <w:r w:rsidR="008A131B" w:rsidRPr="00132B46">
        <w:rPr>
          <w:w w:val="105"/>
        </w:rPr>
        <w:t xml:space="preserve">exception is that the </w:t>
      </w:r>
      <w:r w:rsidR="009F253F" w:rsidRPr="00132B46">
        <w:rPr>
          <w:w w:val="105"/>
        </w:rPr>
        <w:t xml:space="preserve">No Surprises Act </w:t>
      </w:r>
      <w:r w:rsidRPr="00132B46">
        <w:rPr>
          <w:w w:val="105"/>
        </w:rPr>
        <w:t xml:space="preserve">protections do not apply to </w:t>
      </w:r>
      <w:r w:rsidR="00EE5B18" w:rsidRPr="00132B46">
        <w:rPr>
          <w:w w:val="105"/>
        </w:rPr>
        <w:t xml:space="preserve">non-emergency services </w:t>
      </w:r>
      <w:r w:rsidR="002A3F51" w:rsidRPr="00132B46">
        <w:rPr>
          <w:w w:val="105"/>
        </w:rPr>
        <w:t xml:space="preserve">by </w:t>
      </w:r>
      <w:r w:rsidR="00C87DCD" w:rsidRPr="00132B46">
        <w:rPr>
          <w:w w:val="105"/>
        </w:rPr>
        <w:t xml:space="preserve">out-of-network providers at out-of-network facilities. </w:t>
      </w:r>
    </w:p>
    <w:p w14:paraId="59CC01AA" w14:textId="77777777" w:rsidR="005C0038" w:rsidRPr="00E37D18" w:rsidRDefault="005C0038" w:rsidP="00426122">
      <w:pPr>
        <w:rPr>
          <w:rFonts w:ascii="Times New Roman" w:hAnsi="Times New Roman" w:cs="Times New Roman"/>
          <w:bCs/>
          <w:w w:val="105"/>
          <w:sz w:val="24"/>
          <w:szCs w:val="24"/>
        </w:rPr>
      </w:pPr>
    </w:p>
    <w:p w14:paraId="6EEB7E1A" w14:textId="12B7215E" w:rsidR="000B39FD" w:rsidRPr="000406AD" w:rsidRDefault="000B39FD" w:rsidP="009F253F">
      <w:pPr>
        <w:tabs>
          <w:tab w:val="right" w:pos="9580"/>
        </w:tabs>
        <w:rPr>
          <w:b/>
          <w:bCs/>
          <w:color w:val="0070C0"/>
          <w:w w:val="105"/>
          <w:sz w:val="24"/>
          <w:szCs w:val="24"/>
        </w:rPr>
      </w:pPr>
      <w:r w:rsidRPr="000406AD">
        <w:rPr>
          <w:b/>
          <w:bCs/>
          <w:color w:val="0070C0"/>
          <w:w w:val="105"/>
          <w:sz w:val="24"/>
          <w:szCs w:val="24"/>
        </w:rPr>
        <w:t>Notice and Consent Standards</w:t>
      </w:r>
    </w:p>
    <w:p w14:paraId="64DCEBF3" w14:textId="77777777" w:rsidR="000B39FD" w:rsidRDefault="000B39FD" w:rsidP="00426122">
      <w:pPr>
        <w:rPr>
          <w:rFonts w:ascii="Times New Roman" w:hAnsi="Times New Roman" w:cs="Times New Roman"/>
          <w:bCs/>
          <w:w w:val="105"/>
          <w:sz w:val="24"/>
          <w:szCs w:val="24"/>
        </w:rPr>
      </w:pPr>
    </w:p>
    <w:p w14:paraId="2078DFE5" w14:textId="19E4489A" w:rsidR="0003405D" w:rsidRPr="00132B46" w:rsidRDefault="00EF6FDF" w:rsidP="00EF6FDF">
      <w:pPr>
        <w:rPr>
          <w:color w:val="000000"/>
          <w:sz w:val="24"/>
          <w:szCs w:val="24"/>
        </w:rPr>
      </w:pPr>
      <w:r w:rsidRPr="00132B46">
        <w:rPr>
          <w:bCs/>
          <w:w w:val="105"/>
          <w:sz w:val="24"/>
          <w:szCs w:val="24"/>
        </w:rPr>
        <w:t xml:space="preserve">The federal rules also establish </w:t>
      </w:r>
      <w:r w:rsidR="0003405D" w:rsidRPr="00132B46">
        <w:rPr>
          <w:color w:val="000000"/>
          <w:sz w:val="24"/>
          <w:szCs w:val="24"/>
        </w:rPr>
        <w:t xml:space="preserve">specific standards </w:t>
      </w:r>
      <w:r w:rsidR="00F261B2" w:rsidRPr="00132B46">
        <w:rPr>
          <w:color w:val="000000"/>
          <w:sz w:val="24"/>
          <w:szCs w:val="24"/>
        </w:rPr>
        <w:t xml:space="preserve">for </w:t>
      </w:r>
      <w:r w:rsidR="0003405D" w:rsidRPr="00132B46">
        <w:rPr>
          <w:color w:val="000000"/>
          <w:sz w:val="24"/>
          <w:szCs w:val="24"/>
        </w:rPr>
        <w:t>notice and consent for out-of-network providers providing items or services at in-network facilities. </w:t>
      </w:r>
    </w:p>
    <w:p w14:paraId="58321AB3" w14:textId="412B1091" w:rsidR="0003405D" w:rsidRPr="00EF6FDF" w:rsidRDefault="0003405D" w:rsidP="0003405D">
      <w:pPr>
        <w:pStyle w:val="NormalWeb"/>
        <w:numPr>
          <w:ilvl w:val="0"/>
          <w:numId w:val="6"/>
        </w:numPr>
        <w:shd w:val="clear" w:color="auto" w:fill="FFFFFF"/>
        <w:spacing w:before="150" w:beforeAutospacing="0" w:after="150" w:afterAutospacing="0" w:line="300" w:lineRule="atLeast"/>
        <w:rPr>
          <w:color w:val="000000"/>
        </w:rPr>
      </w:pPr>
      <w:r w:rsidRPr="00132B46">
        <w:rPr>
          <w:rFonts w:ascii="Arial" w:hAnsi="Arial" w:cs="Arial"/>
          <w:color w:val="000000"/>
          <w:sz w:val="22"/>
          <w:szCs w:val="22"/>
        </w:rPr>
        <w:t xml:space="preserve">The notice must be tailored to the individual patient in each circumstance, including identification of the provider or facility and a good faith </w:t>
      </w:r>
      <w:r w:rsidRPr="00132B46">
        <w:rPr>
          <w:rFonts w:ascii="Arial" w:hAnsi="Arial" w:cs="Arial"/>
          <w:i/>
          <w:iCs/>
          <w:color w:val="000000"/>
          <w:sz w:val="22"/>
          <w:szCs w:val="22"/>
        </w:rPr>
        <w:t>estimate</w:t>
      </w:r>
      <w:r w:rsidR="00D821B0" w:rsidRPr="00132B46">
        <w:rPr>
          <w:rFonts w:ascii="Arial" w:hAnsi="Arial" w:cs="Arial"/>
          <w:i/>
          <w:iCs/>
          <w:color w:val="000000"/>
          <w:sz w:val="22"/>
          <w:szCs w:val="22"/>
        </w:rPr>
        <w:t xml:space="preserve"> (</w:t>
      </w:r>
      <w:r w:rsidR="009F253F" w:rsidRPr="00132B46">
        <w:rPr>
          <w:rFonts w:ascii="Arial" w:hAnsi="Arial" w:cs="Arial"/>
          <w:i/>
          <w:iCs/>
          <w:color w:val="000000"/>
          <w:sz w:val="22"/>
          <w:szCs w:val="22"/>
        </w:rPr>
        <w:t>currently</w:t>
      </w:r>
      <w:r w:rsidR="00D821B0" w:rsidRPr="00132B46">
        <w:rPr>
          <w:rFonts w:ascii="Arial" w:hAnsi="Arial" w:cs="Arial"/>
          <w:i/>
          <w:iCs/>
          <w:color w:val="000000"/>
          <w:sz w:val="22"/>
          <w:szCs w:val="22"/>
        </w:rPr>
        <w:t xml:space="preserve"> only applies to uninsured and self-pay </w:t>
      </w:r>
      <w:r w:rsidR="009F253F" w:rsidRPr="00132B46">
        <w:rPr>
          <w:rFonts w:ascii="Arial" w:hAnsi="Arial" w:cs="Arial"/>
          <w:i/>
          <w:iCs/>
          <w:color w:val="000000"/>
          <w:sz w:val="22"/>
          <w:szCs w:val="22"/>
        </w:rPr>
        <w:t>patients,</w:t>
      </w:r>
      <w:r w:rsidR="003A20FC" w:rsidRPr="00132B46">
        <w:rPr>
          <w:rFonts w:ascii="Arial" w:hAnsi="Arial" w:cs="Arial"/>
          <w:i/>
          <w:iCs/>
          <w:color w:val="000000"/>
          <w:sz w:val="22"/>
          <w:szCs w:val="22"/>
        </w:rPr>
        <w:t xml:space="preserve"> </w:t>
      </w:r>
      <w:r w:rsidR="00D821B0" w:rsidRPr="00132B46">
        <w:rPr>
          <w:rFonts w:ascii="Arial" w:hAnsi="Arial" w:cs="Arial"/>
          <w:i/>
          <w:iCs/>
          <w:color w:val="000000"/>
          <w:sz w:val="22"/>
          <w:szCs w:val="22"/>
        </w:rPr>
        <w:t>pending additional regulations</w:t>
      </w:r>
      <w:r w:rsidR="00D821B0" w:rsidRPr="00132B46">
        <w:rPr>
          <w:rFonts w:ascii="Arial" w:hAnsi="Arial" w:cs="Arial"/>
          <w:color w:val="000000"/>
          <w:sz w:val="22"/>
          <w:szCs w:val="22"/>
        </w:rPr>
        <w:t>)</w:t>
      </w:r>
      <w:r w:rsidR="00D821B0" w:rsidRPr="00132B46">
        <w:rPr>
          <w:rFonts w:ascii="Arial" w:hAnsi="Arial" w:cs="Arial"/>
          <w:color w:val="000000"/>
        </w:rPr>
        <w:t xml:space="preserve"> of the a</w:t>
      </w:r>
      <w:r w:rsidRPr="00132B46">
        <w:rPr>
          <w:rFonts w:ascii="Arial" w:hAnsi="Arial" w:cs="Arial"/>
          <w:color w:val="000000"/>
        </w:rPr>
        <w:t>mount to be billed</w:t>
      </w:r>
      <w:r w:rsidRPr="00EF6FDF">
        <w:rPr>
          <w:color w:val="000000"/>
        </w:rPr>
        <w:t>.</w:t>
      </w:r>
    </w:p>
    <w:p w14:paraId="31ABD149" w14:textId="77777777" w:rsidR="00D821B0" w:rsidRPr="00132B46" w:rsidRDefault="0003405D" w:rsidP="0003405D">
      <w:pPr>
        <w:pStyle w:val="NormalWeb"/>
        <w:numPr>
          <w:ilvl w:val="0"/>
          <w:numId w:val="6"/>
        </w:numPr>
        <w:shd w:val="clear" w:color="auto" w:fill="FFFFFF"/>
        <w:spacing w:before="150" w:beforeAutospacing="0" w:after="150" w:afterAutospacing="0" w:line="300" w:lineRule="atLeast"/>
        <w:rPr>
          <w:rFonts w:ascii="Arial" w:hAnsi="Arial" w:cs="Arial"/>
          <w:color w:val="000000"/>
          <w:sz w:val="22"/>
          <w:szCs w:val="22"/>
        </w:rPr>
      </w:pPr>
      <w:r w:rsidRPr="00132B46">
        <w:rPr>
          <w:rFonts w:ascii="Arial" w:hAnsi="Arial" w:cs="Arial"/>
          <w:color w:val="000000"/>
          <w:sz w:val="22"/>
          <w:szCs w:val="22"/>
        </w:rPr>
        <w:t>A facility may provide a single notice for multiple out-of-network providers, provided that</w:t>
      </w:r>
      <w:r w:rsidR="00D821B0" w:rsidRPr="00132B46">
        <w:rPr>
          <w:rFonts w:ascii="Arial" w:hAnsi="Arial" w:cs="Arial"/>
          <w:color w:val="000000"/>
          <w:sz w:val="22"/>
          <w:szCs w:val="22"/>
        </w:rPr>
        <w:t>:</w:t>
      </w:r>
    </w:p>
    <w:p w14:paraId="347536BC" w14:textId="443B85C1" w:rsidR="009529CB" w:rsidRPr="00132B46" w:rsidRDefault="0003405D" w:rsidP="009529CB">
      <w:pPr>
        <w:pStyle w:val="NormalWeb"/>
        <w:shd w:val="clear" w:color="auto" w:fill="FFFFFF"/>
        <w:spacing w:before="150" w:beforeAutospacing="0" w:after="150" w:afterAutospacing="0" w:line="300" w:lineRule="atLeast"/>
        <w:ind w:left="720"/>
        <w:rPr>
          <w:rFonts w:ascii="Arial" w:hAnsi="Arial" w:cs="Arial"/>
          <w:color w:val="000000"/>
          <w:sz w:val="22"/>
          <w:szCs w:val="22"/>
        </w:rPr>
      </w:pPr>
      <w:r w:rsidRPr="00132B46">
        <w:rPr>
          <w:rFonts w:ascii="Arial" w:hAnsi="Arial" w:cs="Arial"/>
          <w:color w:val="000000"/>
          <w:sz w:val="22"/>
          <w:szCs w:val="22"/>
        </w:rPr>
        <w:t>(1) each provider’s name is specifically listed</w:t>
      </w:r>
    </w:p>
    <w:p w14:paraId="107DFE84" w14:textId="77777777" w:rsidR="009529CB" w:rsidRPr="00132B46" w:rsidRDefault="0003405D" w:rsidP="009529CB">
      <w:pPr>
        <w:pStyle w:val="NormalWeb"/>
        <w:shd w:val="clear" w:color="auto" w:fill="FFFFFF"/>
        <w:spacing w:before="150" w:beforeAutospacing="0" w:after="150" w:afterAutospacing="0" w:line="300" w:lineRule="atLeast"/>
        <w:ind w:left="720"/>
        <w:rPr>
          <w:rFonts w:ascii="Arial" w:hAnsi="Arial" w:cs="Arial"/>
          <w:color w:val="000000"/>
          <w:sz w:val="22"/>
          <w:szCs w:val="22"/>
        </w:rPr>
      </w:pPr>
      <w:r w:rsidRPr="00132B46">
        <w:rPr>
          <w:rFonts w:ascii="Arial" w:hAnsi="Arial" w:cs="Arial"/>
          <w:color w:val="000000"/>
          <w:sz w:val="22"/>
          <w:szCs w:val="22"/>
        </w:rPr>
        <w:t xml:space="preserve">(2) each provider includes an individual estimate of the items and services they are individually furnishing, and </w:t>
      </w:r>
    </w:p>
    <w:p w14:paraId="15371BF2" w14:textId="604278E1" w:rsidR="0003405D" w:rsidRPr="00132B46" w:rsidRDefault="0003405D" w:rsidP="009529CB">
      <w:pPr>
        <w:pStyle w:val="NormalWeb"/>
        <w:shd w:val="clear" w:color="auto" w:fill="FFFFFF"/>
        <w:spacing w:before="150" w:beforeAutospacing="0" w:after="150" w:afterAutospacing="0" w:line="300" w:lineRule="atLeast"/>
        <w:ind w:left="720"/>
        <w:rPr>
          <w:rFonts w:ascii="Arial" w:hAnsi="Arial" w:cs="Arial"/>
          <w:color w:val="000000"/>
          <w:sz w:val="22"/>
          <w:szCs w:val="22"/>
        </w:rPr>
      </w:pPr>
      <w:r w:rsidRPr="00132B46">
        <w:rPr>
          <w:rFonts w:ascii="Arial" w:hAnsi="Arial" w:cs="Arial"/>
          <w:color w:val="000000"/>
          <w:sz w:val="22"/>
          <w:szCs w:val="22"/>
        </w:rPr>
        <w:t>(3) the patient has the option to consent to waive balance billing protections with respect to each individual provider separately.</w:t>
      </w:r>
    </w:p>
    <w:p w14:paraId="71242A8C" w14:textId="2C276989" w:rsidR="003A20FC" w:rsidRDefault="003A20FC">
      <w:pPr>
        <w:rPr>
          <w:rFonts w:ascii="Times New Roman" w:eastAsia="Times New Roman" w:hAnsi="Times New Roman" w:cs="Times New Roman"/>
          <w:color w:val="000000"/>
          <w:sz w:val="24"/>
          <w:szCs w:val="24"/>
        </w:rPr>
      </w:pPr>
      <w:r>
        <w:rPr>
          <w:color w:val="000000"/>
        </w:rPr>
        <w:br w:type="page"/>
      </w:r>
    </w:p>
    <w:p w14:paraId="7F0884F5" w14:textId="77777777" w:rsidR="004C7C8E" w:rsidRDefault="004C7C8E" w:rsidP="009529CB">
      <w:pPr>
        <w:pStyle w:val="NormalWeb"/>
        <w:shd w:val="clear" w:color="auto" w:fill="FFFFFF"/>
        <w:spacing w:before="150" w:beforeAutospacing="0" w:after="150" w:afterAutospacing="0" w:line="300" w:lineRule="atLeast"/>
        <w:ind w:left="720"/>
        <w:rPr>
          <w:color w:val="000000"/>
        </w:rPr>
      </w:pPr>
    </w:p>
    <w:p w14:paraId="6F0B910B" w14:textId="33F243F6" w:rsidR="004C7C8E" w:rsidRPr="00132B46" w:rsidRDefault="004C7C8E" w:rsidP="00132B46">
      <w:pPr>
        <w:pStyle w:val="NormalWeb"/>
        <w:shd w:val="clear" w:color="auto" w:fill="FFFFFF"/>
        <w:spacing w:before="150" w:beforeAutospacing="0" w:after="150" w:afterAutospacing="0" w:line="300" w:lineRule="atLeast"/>
        <w:jc w:val="both"/>
        <w:rPr>
          <w:rFonts w:ascii="Arial" w:hAnsi="Arial" w:cs="Arial"/>
          <w:color w:val="000000"/>
          <w:sz w:val="22"/>
          <w:szCs w:val="22"/>
        </w:rPr>
      </w:pPr>
      <w:r w:rsidRPr="00132B46">
        <w:rPr>
          <w:rFonts w:ascii="Arial" w:hAnsi="Arial" w:cs="Arial"/>
          <w:color w:val="000000"/>
          <w:sz w:val="22"/>
          <w:szCs w:val="22"/>
        </w:rPr>
        <w:t>Additional federal standards for the notice and consent forms include</w:t>
      </w:r>
      <w:r w:rsidR="003A20FC" w:rsidRPr="00132B46">
        <w:rPr>
          <w:rFonts w:ascii="Arial" w:hAnsi="Arial" w:cs="Arial"/>
          <w:color w:val="000000"/>
          <w:sz w:val="22"/>
          <w:szCs w:val="22"/>
        </w:rPr>
        <w:t xml:space="preserve"> that</w:t>
      </w:r>
      <w:r w:rsidRPr="00132B46">
        <w:rPr>
          <w:rFonts w:ascii="Arial" w:hAnsi="Arial" w:cs="Arial"/>
          <w:color w:val="000000"/>
          <w:sz w:val="22"/>
          <w:szCs w:val="22"/>
        </w:rPr>
        <w:t>:</w:t>
      </w:r>
    </w:p>
    <w:p w14:paraId="7E37E15C" w14:textId="13CEED5F" w:rsidR="0003405D" w:rsidRPr="00132B46" w:rsidRDefault="0003405D" w:rsidP="00132B46">
      <w:pPr>
        <w:pStyle w:val="NormalWeb"/>
        <w:numPr>
          <w:ilvl w:val="0"/>
          <w:numId w:val="6"/>
        </w:numPr>
        <w:shd w:val="clear" w:color="auto" w:fill="FFFFFF"/>
        <w:spacing w:before="150" w:beforeAutospacing="0" w:after="150" w:afterAutospacing="0" w:line="300" w:lineRule="atLeast"/>
        <w:jc w:val="both"/>
        <w:rPr>
          <w:rFonts w:ascii="Arial" w:hAnsi="Arial" w:cs="Arial"/>
          <w:color w:val="000000"/>
          <w:sz w:val="22"/>
          <w:szCs w:val="22"/>
        </w:rPr>
      </w:pPr>
      <w:r w:rsidRPr="00132B46">
        <w:rPr>
          <w:rFonts w:ascii="Arial" w:hAnsi="Arial" w:cs="Arial"/>
          <w:color w:val="000000"/>
          <w:sz w:val="22"/>
          <w:szCs w:val="22"/>
        </w:rPr>
        <w:t>The</w:t>
      </w:r>
      <w:r w:rsidR="003A20FC" w:rsidRPr="00132B46">
        <w:rPr>
          <w:rFonts w:ascii="Arial" w:hAnsi="Arial" w:cs="Arial"/>
          <w:color w:val="000000"/>
          <w:sz w:val="22"/>
          <w:szCs w:val="22"/>
        </w:rPr>
        <w:t xml:space="preserve"> notice and consent documents </w:t>
      </w:r>
      <w:r w:rsidRPr="00132B46">
        <w:rPr>
          <w:rFonts w:ascii="Arial" w:hAnsi="Arial" w:cs="Arial"/>
          <w:color w:val="000000"/>
          <w:sz w:val="22"/>
          <w:szCs w:val="22"/>
        </w:rPr>
        <w:t>must be provided together and cannot be attached to or incorporated into any other documents.</w:t>
      </w:r>
    </w:p>
    <w:p w14:paraId="28B80E2E" w14:textId="6B4D7415" w:rsidR="0003405D" w:rsidRPr="00132B46" w:rsidRDefault="004C7C8E" w:rsidP="00132B46">
      <w:pPr>
        <w:pStyle w:val="NormalWeb"/>
        <w:numPr>
          <w:ilvl w:val="0"/>
          <w:numId w:val="6"/>
        </w:numPr>
        <w:shd w:val="clear" w:color="auto" w:fill="FFFFFF"/>
        <w:spacing w:before="150" w:beforeAutospacing="0" w:after="150" w:afterAutospacing="0" w:line="300" w:lineRule="atLeast"/>
        <w:jc w:val="both"/>
        <w:rPr>
          <w:rFonts w:ascii="Arial" w:hAnsi="Arial" w:cs="Arial"/>
          <w:color w:val="000000"/>
          <w:sz w:val="22"/>
          <w:szCs w:val="22"/>
        </w:rPr>
      </w:pPr>
      <w:r w:rsidRPr="00132B46">
        <w:rPr>
          <w:rFonts w:ascii="Arial" w:hAnsi="Arial" w:cs="Arial"/>
          <w:color w:val="000000"/>
          <w:sz w:val="22"/>
          <w:szCs w:val="22"/>
        </w:rPr>
        <w:t>It must be made</w:t>
      </w:r>
      <w:r w:rsidR="0003405D" w:rsidRPr="00132B46">
        <w:rPr>
          <w:rFonts w:ascii="Arial" w:hAnsi="Arial" w:cs="Arial"/>
          <w:color w:val="000000"/>
          <w:sz w:val="22"/>
          <w:szCs w:val="22"/>
        </w:rPr>
        <w:t xml:space="preserve"> clear that the good faith </w:t>
      </w:r>
      <w:proofErr w:type="gramStart"/>
      <w:r w:rsidR="0003405D" w:rsidRPr="00132B46">
        <w:rPr>
          <w:rFonts w:ascii="Arial" w:hAnsi="Arial" w:cs="Arial"/>
          <w:color w:val="000000"/>
          <w:sz w:val="22"/>
          <w:szCs w:val="22"/>
        </w:rPr>
        <w:t>estimate</w:t>
      </w:r>
      <w:proofErr w:type="gramEnd"/>
      <w:r w:rsidR="0003405D" w:rsidRPr="00132B46">
        <w:rPr>
          <w:rFonts w:ascii="Arial" w:hAnsi="Arial" w:cs="Arial"/>
          <w:color w:val="000000"/>
          <w:sz w:val="22"/>
          <w:szCs w:val="22"/>
        </w:rPr>
        <w:t xml:space="preserve"> and patient consent do not constitute a contract or a binding commitment to the estimated charge.</w:t>
      </w:r>
    </w:p>
    <w:p w14:paraId="3804C44B" w14:textId="5F3E4FC3" w:rsidR="0003405D" w:rsidRPr="00132B46" w:rsidRDefault="004C7C8E" w:rsidP="00132B46">
      <w:pPr>
        <w:pStyle w:val="NormalWeb"/>
        <w:numPr>
          <w:ilvl w:val="0"/>
          <w:numId w:val="6"/>
        </w:numPr>
        <w:shd w:val="clear" w:color="auto" w:fill="FFFFFF"/>
        <w:spacing w:before="150" w:beforeAutospacing="0" w:after="150" w:afterAutospacing="0" w:line="300" w:lineRule="atLeast"/>
        <w:jc w:val="both"/>
        <w:rPr>
          <w:rFonts w:ascii="Arial" w:hAnsi="Arial" w:cs="Arial"/>
          <w:color w:val="000000"/>
          <w:sz w:val="22"/>
          <w:szCs w:val="22"/>
        </w:rPr>
      </w:pPr>
      <w:r w:rsidRPr="00132B46">
        <w:rPr>
          <w:rFonts w:ascii="Arial" w:hAnsi="Arial" w:cs="Arial"/>
          <w:color w:val="000000"/>
          <w:sz w:val="22"/>
          <w:szCs w:val="22"/>
        </w:rPr>
        <w:t xml:space="preserve">It </w:t>
      </w:r>
      <w:r w:rsidR="0003405D" w:rsidRPr="00132B46">
        <w:rPr>
          <w:rFonts w:ascii="Arial" w:hAnsi="Arial" w:cs="Arial"/>
          <w:color w:val="000000"/>
          <w:sz w:val="22"/>
          <w:szCs w:val="22"/>
        </w:rPr>
        <w:t>must include information regarding whether prior authorization or other care management limitations may be required prior to the provision of services.</w:t>
      </w:r>
    </w:p>
    <w:p w14:paraId="29EB32F6" w14:textId="52862B76" w:rsidR="0003405D" w:rsidRPr="00132B46" w:rsidRDefault="0016501A" w:rsidP="00132B46">
      <w:pPr>
        <w:pStyle w:val="NormalWeb"/>
        <w:numPr>
          <w:ilvl w:val="0"/>
          <w:numId w:val="6"/>
        </w:numPr>
        <w:shd w:val="clear" w:color="auto" w:fill="FFFFFF"/>
        <w:spacing w:before="150" w:beforeAutospacing="0" w:after="150" w:afterAutospacing="0" w:line="300" w:lineRule="atLeast"/>
        <w:jc w:val="both"/>
        <w:rPr>
          <w:rFonts w:ascii="Arial" w:hAnsi="Arial" w:cs="Arial"/>
          <w:color w:val="000000"/>
          <w:sz w:val="22"/>
          <w:szCs w:val="22"/>
        </w:rPr>
      </w:pPr>
      <w:r w:rsidRPr="00132B46">
        <w:rPr>
          <w:rFonts w:ascii="Arial" w:hAnsi="Arial" w:cs="Arial"/>
          <w:color w:val="000000"/>
          <w:sz w:val="22"/>
          <w:szCs w:val="22"/>
        </w:rPr>
        <w:t>It</w:t>
      </w:r>
      <w:r w:rsidR="0003405D" w:rsidRPr="00132B46">
        <w:rPr>
          <w:rFonts w:ascii="Arial" w:hAnsi="Arial" w:cs="Arial"/>
          <w:color w:val="000000"/>
          <w:sz w:val="22"/>
          <w:szCs w:val="22"/>
        </w:rPr>
        <w:t xml:space="preserve"> must clearly state that the patient is not required to consent to receive such items and services, and that the patient may instead seek care from an available in-network provider or facility and that in such cases, in-network cost-sharing amounts will apply.</w:t>
      </w:r>
    </w:p>
    <w:p w14:paraId="3F0EC64F" w14:textId="15BC8D60" w:rsidR="0003405D" w:rsidRPr="00132B46" w:rsidRDefault="003A20FC" w:rsidP="00132B46">
      <w:pPr>
        <w:pStyle w:val="NormalWeb"/>
        <w:numPr>
          <w:ilvl w:val="0"/>
          <w:numId w:val="6"/>
        </w:numPr>
        <w:shd w:val="clear" w:color="auto" w:fill="FFFFFF"/>
        <w:spacing w:before="150" w:beforeAutospacing="0" w:after="150" w:afterAutospacing="0" w:line="300" w:lineRule="atLeast"/>
        <w:jc w:val="both"/>
        <w:rPr>
          <w:rFonts w:ascii="Arial" w:hAnsi="Arial" w:cs="Arial"/>
          <w:color w:val="000000"/>
          <w:sz w:val="22"/>
          <w:szCs w:val="22"/>
        </w:rPr>
      </w:pPr>
      <w:r w:rsidRPr="00132B46">
        <w:rPr>
          <w:rFonts w:ascii="Arial" w:hAnsi="Arial" w:cs="Arial"/>
          <w:color w:val="000000"/>
          <w:sz w:val="22"/>
          <w:szCs w:val="22"/>
        </w:rPr>
        <w:t>It must include a list of in-network providers at the facility who are able to furnish the same items or services and state that the patient may be referred at their option to such provider(s) f</w:t>
      </w:r>
      <w:r w:rsidR="0003405D" w:rsidRPr="00132B46">
        <w:rPr>
          <w:rFonts w:ascii="Arial" w:hAnsi="Arial" w:cs="Arial"/>
          <w:color w:val="000000"/>
          <w:sz w:val="22"/>
          <w:szCs w:val="22"/>
        </w:rPr>
        <w:t>or post-stabilization services furnished by an out-of-network provider at an in-network emergency facility.</w:t>
      </w:r>
    </w:p>
    <w:p w14:paraId="3F9401BD" w14:textId="27400242" w:rsidR="0003405D" w:rsidRPr="00132B46" w:rsidRDefault="0022309B" w:rsidP="00132B46">
      <w:pPr>
        <w:pStyle w:val="NormalWeb"/>
        <w:numPr>
          <w:ilvl w:val="0"/>
          <w:numId w:val="6"/>
        </w:numPr>
        <w:shd w:val="clear" w:color="auto" w:fill="FFFFFF"/>
        <w:spacing w:before="150" w:beforeAutospacing="0" w:after="150" w:afterAutospacing="0" w:line="300" w:lineRule="atLeast"/>
        <w:jc w:val="both"/>
        <w:rPr>
          <w:rFonts w:ascii="Arial" w:hAnsi="Arial" w:cs="Arial"/>
          <w:color w:val="000000"/>
          <w:sz w:val="22"/>
          <w:szCs w:val="22"/>
        </w:rPr>
      </w:pPr>
      <w:r w:rsidRPr="00132B46">
        <w:rPr>
          <w:rFonts w:ascii="Arial" w:hAnsi="Arial" w:cs="Arial"/>
          <w:color w:val="000000"/>
          <w:sz w:val="22"/>
          <w:szCs w:val="22"/>
        </w:rPr>
        <w:t xml:space="preserve">Notices and forms </w:t>
      </w:r>
      <w:r w:rsidR="0003405D" w:rsidRPr="00132B46">
        <w:rPr>
          <w:rFonts w:ascii="Arial" w:hAnsi="Arial" w:cs="Arial"/>
          <w:color w:val="000000"/>
          <w:sz w:val="22"/>
          <w:szCs w:val="22"/>
        </w:rPr>
        <w:t>must be available in any of the 15 most common languages in the geographic region in which the facility is located. If an individual cannot understand any of the provided languages, the provider or facility must obtain a qualified interpreter.</w:t>
      </w:r>
    </w:p>
    <w:p w14:paraId="7735210F" w14:textId="77777777" w:rsidR="00A914AB" w:rsidRPr="00132B46" w:rsidRDefault="00A914AB" w:rsidP="00132B46">
      <w:pPr>
        <w:pStyle w:val="NormalWeb"/>
        <w:numPr>
          <w:ilvl w:val="0"/>
          <w:numId w:val="6"/>
        </w:numPr>
        <w:shd w:val="clear" w:color="auto" w:fill="FFFFFF"/>
        <w:spacing w:before="150" w:beforeAutospacing="0" w:after="150" w:afterAutospacing="0" w:line="300" w:lineRule="atLeast"/>
        <w:jc w:val="both"/>
        <w:rPr>
          <w:rFonts w:ascii="Arial" w:hAnsi="Arial" w:cs="Arial"/>
          <w:color w:val="000000"/>
          <w:sz w:val="22"/>
          <w:szCs w:val="22"/>
        </w:rPr>
      </w:pPr>
      <w:r w:rsidRPr="00132B46">
        <w:rPr>
          <w:rFonts w:ascii="Arial" w:hAnsi="Arial" w:cs="Arial"/>
          <w:color w:val="000000"/>
          <w:sz w:val="22"/>
          <w:szCs w:val="22"/>
        </w:rPr>
        <w:t>The in-network facility may provide the notice on behalf of an out-of-network provider.</w:t>
      </w:r>
    </w:p>
    <w:p w14:paraId="09017777" w14:textId="7CA78498" w:rsidR="00DC262F" w:rsidRPr="00132B46" w:rsidRDefault="0003405D" w:rsidP="00132B46">
      <w:pPr>
        <w:pStyle w:val="NormalWeb"/>
        <w:numPr>
          <w:ilvl w:val="0"/>
          <w:numId w:val="6"/>
        </w:numPr>
        <w:shd w:val="clear" w:color="auto" w:fill="FFFFFF"/>
        <w:spacing w:before="150" w:beforeAutospacing="0" w:after="150" w:afterAutospacing="0" w:line="300" w:lineRule="atLeast"/>
        <w:jc w:val="both"/>
        <w:rPr>
          <w:rFonts w:ascii="Arial" w:hAnsi="Arial" w:cs="Arial"/>
          <w:color w:val="000000"/>
          <w:sz w:val="22"/>
          <w:szCs w:val="22"/>
        </w:rPr>
      </w:pPr>
      <w:r w:rsidRPr="00132B46">
        <w:rPr>
          <w:rFonts w:ascii="Arial" w:hAnsi="Arial" w:cs="Arial"/>
          <w:color w:val="000000"/>
          <w:sz w:val="22"/>
          <w:szCs w:val="22"/>
        </w:rPr>
        <w:t>A patient may revoke consent by notifying the provider or facility in writing prior to the furnishing of items or services.</w:t>
      </w:r>
    </w:p>
    <w:p w14:paraId="11F3407D" w14:textId="052E4E00" w:rsidR="00C10DE9" w:rsidRPr="00132B46" w:rsidRDefault="00B56BF3" w:rsidP="00132B46">
      <w:pPr>
        <w:pStyle w:val="NormalWeb"/>
        <w:numPr>
          <w:ilvl w:val="0"/>
          <w:numId w:val="6"/>
        </w:numPr>
        <w:shd w:val="clear" w:color="auto" w:fill="FFFFFF"/>
        <w:spacing w:before="150" w:beforeAutospacing="0" w:after="150" w:afterAutospacing="0" w:line="300" w:lineRule="atLeast"/>
        <w:jc w:val="both"/>
        <w:rPr>
          <w:rFonts w:ascii="Arial" w:hAnsi="Arial" w:cs="Arial"/>
          <w:color w:val="000000"/>
          <w:sz w:val="22"/>
          <w:szCs w:val="22"/>
        </w:rPr>
      </w:pPr>
      <w:r w:rsidRPr="00132B46">
        <w:rPr>
          <w:rFonts w:ascii="Arial" w:hAnsi="Arial" w:cs="Arial"/>
          <w:color w:val="000000"/>
          <w:sz w:val="22"/>
          <w:szCs w:val="22"/>
        </w:rPr>
        <w:t xml:space="preserve">The federal requirements indicate </w:t>
      </w:r>
      <w:r w:rsidR="0003405D" w:rsidRPr="00132B46">
        <w:rPr>
          <w:rFonts w:ascii="Arial" w:hAnsi="Arial" w:cs="Arial"/>
          <w:color w:val="000000"/>
          <w:sz w:val="22"/>
          <w:szCs w:val="22"/>
        </w:rPr>
        <w:t>consent must be maintained for a minimum of seven years.</w:t>
      </w:r>
      <w:r w:rsidRPr="00132B46">
        <w:rPr>
          <w:rFonts w:ascii="Arial" w:hAnsi="Arial" w:cs="Arial"/>
          <w:color w:val="000000"/>
          <w:sz w:val="22"/>
          <w:szCs w:val="22"/>
        </w:rPr>
        <w:t xml:space="preserve"> However, New Jersey law requires that the notices be a part of the patient</w:t>
      </w:r>
      <w:r w:rsidR="001518E3" w:rsidRPr="00132B46">
        <w:rPr>
          <w:rFonts w:ascii="Arial" w:hAnsi="Arial" w:cs="Arial"/>
          <w:color w:val="000000"/>
          <w:sz w:val="22"/>
          <w:szCs w:val="22"/>
        </w:rPr>
        <w:t>’</w:t>
      </w:r>
      <w:r w:rsidRPr="00132B46">
        <w:rPr>
          <w:rFonts w:ascii="Arial" w:hAnsi="Arial" w:cs="Arial"/>
          <w:color w:val="000000"/>
          <w:sz w:val="22"/>
          <w:szCs w:val="22"/>
        </w:rPr>
        <w:t xml:space="preserve">s medical record.  </w:t>
      </w:r>
    </w:p>
    <w:p w14:paraId="66644083" w14:textId="2F0BCE3D" w:rsidR="000B39FD" w:rsidRPr="00132B46" w:rsidRDefault="000B39FD" w:rsidP="0003405D">
      <w:pPr>
        <w:rPr>
          <w:rFonts w:ascii="Times New Roman" w:hAnsi="Times New Roman" w:cs="Times New Roman"/>
          <w:color w:val="000000"/>
        </w:rPr>
      </w:pPr>
    </w:p>
    <w:p w14:paraId="2A24DF93" w14:textId="566B8E77" w:rsidR="0099733A" w:rsidRPr="000406AD" w:rsidRDefault="009841A6" w:rsidP="000B39FD">
      <w:pPr>
        <w:rPr>
          <w:b/>
          <w:bCs/>
          <w:color w:val="0070C0"/>
          <w:w w:val="105"/>
        </w:rPr>
      </w:pPr>
      <w:r w:rsidRPr="000406AD">
        <w:rPr>
          <w:b/>
          <w:bCs/>
          <w:color w:val="0070C0"/>
          <w:w w:val="105"/>
        </w:rPr>
        <w:t xml:space="preserve">Notice and Consent </w:t>
      </w:r>
      <w:r w:rsidR="0099733A" w:rsidRPr="000406AD">
        <w:rPr>
          <w:b/>
          <w:bCs/>
          <w:color w:val="0070C0"/>
          <w:w w:val="105"/>
        </w:rPr>
        <w:t>Timing</w:t>
      </w:r>
    </w:p>
    <w:p w14:paraId="77456091" w14:textId="3B9685C0" w:rsidR="000362B7" w:rsidRPr="00132B46" w:rsidRDefault="000362B7" w:rsidP="000B39FD">
      <w:pPr>
        <w:rPr>
          <w:rFonts w:ascii="Times New Roman" w:hAnsi="Times New Roman" w:cs="Times New Roman"/>
          <w:b/>
          <w:w w:val="105"/>
        </w:rPr>
      </w:pPr>
    </w:p>
    <w:p w14:paraId="1895DFF5" w14:textId="19D8DCB4" w:rsidR="000362B7" w:rsidRPr="00132B46" w:rsidRDefault="003F2824" w:rsidP="00132B46">
      <w:pPr>
        <w:jc w:val="both"/>
        <w:rPr>
          <w:color w:val="000000"/>
          <w:vertAlign w:val="superscript"/>
        </w:rPr>
      </w:pPr>
      <w:r w:rsidRPr="00132B46">
        <w:rPr>
          <w:color w:val="000000"/>
        </w:rPr>
        <w:t>Under the federal rules, t</w:t>
      </w:r>
      <w:r w:rsidR="000362B7" w:rsidRPr="00132B46">
        <w:rPr>
          <w:color w:val="000000"/>
        </w:rPr>
        <w:t xml:space="preserve">he notice </w:t>
      </w:r>
      <w:r w:rsidRPr="00132B46">
        <w:rPr>
          <w:color w:val="000000"/>
        </w:rPr>
        <w:t xml:space="preserve">must </w:t>
      </w:r>
      <w:r w:rsidR="000362B7" w:rsidRPr="00132B46">
        <w:rPr>
          <w:color w:val="000000"/>
        </w:rPr>
        <w:t xml:space="preserve">be provided within an appropriate timeframe for the patient to make an informed decision. </w:t>
      </w:r>
      <w:r w:rsidRPr="00132B46">
        <w:rPr>
          <w:color w:val="000000"/>
        </w:rPr>
        <w:t>In instances of</w:t>
      </w:r>
      <w:r w:rsidR="000362B7" w:rsidRPr="00132B46">
        <w:rPr>
          <w:color w:val="000000"/>
        </w:rPr>
        <w:t xml:space="preserve"> appointments scheduled in advance, notice should be made at least 72 hours before the date of the appointment</w:t>
      </w:r>
      <w:r w:rsidR="00C0293F" w:rsidRPr="00132B46">
        <w:rPr>
          <w:color w:val="000000"/>
        </w:rPr>
        <w:t>.  If</w:t>
      </w:r>
      <w:r w:rsidR="000362B7" w:rsidRPr="00132B46">
        <w:rPr>
          <w:color w:val="000000"/>
        </w:rPr>
        <w:t xml:space="preserve"> an appointment is made on the day of</w:t>
      </w:r>
      <w:r w:rsidR="0016501A" w:rsidRPr="00132B46">
        <w:rPr>
          <w:color w:val="000000"/>
        </w:rPr>
        <w:t xml:space="preserve"> services</w:t>
      </w:r>
      <w:r w:rsidR="000362B7" w:rsidRPr="00132B46">
        <w:rPr>
          <w:color w:val="000000"/>
        </w:rPr>
        <w:t>, notice should be given at least three hours prior to furnishing the items or services.</w:t>
      </w:r>
    </w:p>
    <w:p w14:paraId="51CE8FA4" w14:textId="47C89813" w:rsidR="000362B7" w:rsidRPr="00132B46" w:rsidRDefault="000362B7" w:rsidP="00132B46">
      <w:pPr>
        <w:jc w:val="both"/>
        <w:rPr>
          <w:w w:val="105"/>
        </w:rPr>
      </w:pPr>
    </w:p>
    <w:p w14:paraId="757EE5A5" w14:textId="40326299" w:rsidR="00AE2B5A" w:rsidRPr="00132B46" w:rsidRDefault="00CF3603" w:rsidP="00132B46">
      <w:pPr>
        <w:jc w:val="both"/>
        <w:rPr>
          <w:w w:val="105"/>
        </w:rPr>
      </w:pPr>
      <w:r w:rsidRPr="00132B46">
        <w:rPr>
          <w:w w:val="105"/>
        </w:rPr>
        <w:t>New Jersey’s law established that notice must be given at the time of scheduling</w:t>
      </w:r>
      <w:r w:rsidR="00C0293F" w:rsidRPr="00132B46">
        <w:rPr>
          <w:w w:val="105"/>
        </w:rPr>
        <w:t>.  The</w:t>
      </w:r>
      <w:r w:rsidRPr="00132B46">
        <w:rPr>
          <w:w w:val="105"/>
        </w:rPr>
        <w:t xml:space="preserve"> Department of Health released forms in 2019</w:t>
      </w:r>
      <w:r w:rsidR="00C0293F" w:rsidRPr="00132B46">
        <w:rPr>
          <w:w w:val="105"/>
        </w:rPr>
        <w:t xml:space="preserve"> with</w:t>
      </w:r>
      <w:r w:rsidRPr="00132B46">
        <w:rPr>
          <w:w w:val="105"/>
        </w:rPr>
        <w:t xml:space="preserve"> instructions </w:t>
      </w:r>
      <w:r w:rsidR="00C0293F" w:rsidRPr="00132B46">
        <w:rPr>
          <w:w w:val="105"/>
        </w:rPr>
        <w:t xml:space="preserve">stating </w:t>
      </w:r>
      <w:r w:rsidRPr="00132B46">
        <w:rPr>
          <w:w w:val="105"/>
        </w:rPr>
        <w:t xml:space="preserve">that </w:t>
      </w:r>
      <w:r w:rsidR="0069074B" w:rsidRPr="00132B46">
        <w:rPr>
          <w:w w:val="105"/>
        </w:rPr>
        <w:t xml:space="preserve">the notice </w:t>
      </w:r>
      <w:r w:rsidR="005B478B" w:rsidRPr="00132B46">
        <w:rPr>
          <w:w w:val="105"/>
        </w:rPr>
        <w:t xml:space="preserve">must be signed prior to the provision of services when scheduling by phone and at the time of scheduling if in person.  </w:t>
      </w:r>
    </w:p>
    <w:p w14:paraId="27B28144" w14:textId="0615CAEC" w:rsidR="00C33D15" w:rsidRPr="00132B46" w:rsidRDefault="00C33D15" w:rsidP="00132B46">
      <w:pPr>
        <w:jc w:val="both"/>
        <w:rPr>
          <w:w w:val="105"/>
        </w:rPr>
      </w:pPr>
    </w:p>
    <w:p w14:paraId="0D168293" w14:textId="5DA37305" w:rsidR="00C33D15" w:rsidRPr="00132B46" w:rsidRDefault="00C33D15" w:rsidP="00132B46">
      <w:pPr>
        <w:jc w:val="both"/>
        <w:rPr>
          <w:w w:val="105"/>
        </w:rPr>
      </w:pPr>
      <w:r w:rsidRPr="00132B46">
        <w:rPr>
          <w:w w:val="105"/>
        </w:rPr>
        <w:t>Both state and federal r</w:t>
      </w:r>
      <w:r w:rsidR="00296324" w:rsidRPr="00132B46">
        <w:rPr>
          <w:w w:val="105"/>
        </w:rPr>
        <w:t xml:space="preserve">ules </w:t>
      </w:r>
      <w:r w:rsidRPr="00132B46">
        <w:rPr>
          <w:w w:val="105"/>
        </w:rPr>
        <w:t xml:space="preserve">require that a </w:t>
      </w:r>
      <w:r w:rsidR="00A914AB" w:rsidRPr="00132B46">
        <w:rPr>
          <w:w w:val="105"/>
        </w:rPr>
        <w:t>provider’s representative</w:t>
      </w:r>
      <w:r w:rsidRPr="00132B46">
        <w:rPr>
          <w:w w:val="105"/>
        </w:rPr>
        <w:t xml:space="preserve"> be available to explain the disclosures. </w:t>
      </w:r>
    </w:p>
    <w:p w14:paraId="254B0E79" w14:textId="77777777" w:rsidR="00C33D15" w:rsidRPr="00132B46" w:rsidRDefault="00C33D15" w:rsidP="000B39FD">
      <w:pPr>
        <w:rPr>
          <w:rFonts w:ascii="Times New Roman" w:hAnsi="Times New Roman" w:cs="Times New Roman"/>
          <w:bCs/>
          <w:w w:val="105"/>
        </w:rPr>
      </w:pPr>
    </w:p>
    <w:p w14:paraId="5F7143A7" w14:textId="77777777" w:rsidR="00A914AB" w:rsidRPr="00132B46" w:rsidRDefault="00A914AB">
      <w:pPr>
        <w:rPr>
          <w:rFonts w:ascii="Times New Roman" w:hAnsi="Times New Roman" w:cs="Times New Roman"/>
          <w:b/>
          <w:w w:val="105"/>
        </w:rPr>
      </w:pPr>
      <w:r w:rsidRPr="00132B46">
        <w:rPr>
          <w:rFonts w:ascii="Times New Roman" w:hAnsi="Times New Roman" w:cs="Times New Roman"/>
          <w:b/>
          <w:w w:val="105"/>
        </w:rPr>
        <w:br w:type="page"/>
      </w:r>
    </w:p>
    <w:p w14:paraId="0EF93719" w14:textId="3625B3D8" w:rsidR="000B39FD" w:rsidRPr="000406AD" w:rsidRDefault="000B39FD" w:rsidP="000B39FD">
      <w:pPr>
        <w:rPr>
          <w:b/>
          <w:bCs/>
          <w:color w:val="0070C0"/>
          <w:w w:val="105"/>
          <w:sz w:val="24"/>
          <w:szCs w:val="24"/>
        </w:rPr>
      </w:pPr>
      <w:r w:rsidRPr="000406AD">
        <w:rPr>
          <w:b/>
          <w:bCs/>
          <w:color w:val="0070C0"/>
          <w:w w:val="105"/>
          <w:sz w:val="24"/>
          <w:szCs w:val="24"/>
        </w:rPr>
        <w:lastRenderedPageBreak/>
        <w:t>Notice and Consent Forms</w:t>
      </w:r>
    </w:p>
    <w:p w14:paraId="72F3D32C" w14:textId="6CFCDA74" w:rsidR="000B39FD" w:rsidRDefault="000B39FD" w:rsidP="0003405D">
      <w:pPr>
        <w:rPr>
          <w:rFonts w:ascii="Times New Roman" w:hAnsi="Times New Roman" w:cs="Times New Roman"/>
          <w:bCs/>
          <w:w w:val="105"/>
          <w:sz w:val="24"/>
          <w:szCs w:val="24"/>
        </w:rPr>
      </w:pPr>
    </w:p>
    <w:p w14:paraId="5BDB54B7" w14:textId="04AECBCB" w:rsidR="0001220C" w:rsidRPr="00132B46" w:rsidRDefault="0001220C" w:rsidP="0001220C">
      <w:pPr>
        <w:rPr>
          <w:bCs/>
          <w:w w:val="105"/>
        </w:rPr>
      </w:pPr>
      <w:r w:rsidRPr="00132B46">
        <w:rPr>
          <w:bCs/>
          <w:w w:val="105"/>
        </w:rPr>
        <w:t>The federal rules are clear that</w:t>
      </w:r>
      <w:r w:rsidR="00273B35" w:rsidRPr="00132B46">
        <w:rPr>
          <w:bCs/>
          <w:w w:val="105"/>
        </w:rPr>
        <w:t xml:space="preserve">, unlike the disclosures for </w:t>
      </w:r>
      <w:r w:rsidR="0011516D" w:rsidRPr="00132B46">
        <w:rPr>
          <w:bCs/>
          <w:w w:val="105"/>
        </w:rPr>
        <w:t>surprise billing protections,</w:t>
      </w:r>
      <w:r w:rsidRPr="00132B46">
        <w:rPr>
          <w:bCs/>
          <w:w w:val="105"/>
        </w:rPr>
        <w:t xml:space="preserve"> the model notice </w:t>
      </w:r>
      <w:r w:rsidR="00C0293F" w:rsidRPr="00132B46">
        <w:rPr>
          <w:bCs/>
          <w:w w:val="105"/>
        </w:rPr>
        <w:t xml:space="preserve">created by </w:t>
      </w:r>
      <w:r w:rsidR="00A914AB" w:rsidRPr="00132B46">
        <w:rPr>
          <w:bCs/>
          <w:w w:val="105"/>
        </w:rPr>
        <w:t xml:space="preserve">the U.S. Department of Health and Human Services </w:t>
      </w:r>
      <w:r w:rsidRPr="00132B46">
        <w:rPr>
          <w:bCs/>
          <w:w w:val="105"/>
        </w:rPr>
        <w:t xml:space="preserve">must be used and cannot be modified.  Therefore, </w:t>
      </w:r>
      <w:proofErr w:type="gramStart"/>
      <w:r w:rsidRPr="00132B46">
        <w:rPr>
          <w:bCs/>
          <w:w w:val="105"/>
        </w:rPr>
        <w:t>similar to</w:t>
      </w:r>
      <w:proofErr w:type="gramEnd"/>
      <w:r w:rsidRPr="00132B46">
        <w:rPr>
          <w:bCs/>
          <w:w w:val="105"/>
        </w:rPr>
        <w:t xml:space="preserve"> the recommendation in the resource </w:t>
      </w:r>
      <w:r w:rsidRPr="00132B46">
        <w:rPr>
          <w:bCs/>
          <w:i/>
          <w:iCs/>
          <w:w w:val="105"/>
        </w:rPr>
        <w:t>Notices of Patient Protections,</w:t>
      </w:r>
      <w:r w:rsidRPr="00132B46">
        <w:rPr>
          <w:bCs/>
          <w:w w:val="105"/>
        </w:rPr>
        <w:t xml:space="preserve"> </w:t>
      </w:r>
      <w:r w:rsidR="00C0293F" w:rsidRPr="00132B46">
        <w:rPr>
          <w:bCs/>
          <w:w w:val="105"/>
        </w:rPr>
        <w:t>providers should use</w:t>
      </w:r>
      <w:r w:rsidRPr="00132B46">
        <w:rPr>
          <w:bCs/>
          <w:w w:val="105"/>
        </w:rPr>
        <w:t xml:space="preserve"> the federal and state forms to ensure compliance </w:t>
      </w:r>
      <w:r w:rsidR="00C0293F" w:rsidRPr="00132B46">
        <w:rPr>
          <w:bCs/>
          <w:w w:val="105"/>
        </w:rPr>
        <w:t xml:space="preserve">until there is </w:t>
      </w:r>
      <w:r w:rsidRPr="00132B46">
        <w:rPr>
          <w:bCs/>
          <w:w w:val="105"/>
        </w:rPr>
        <w:t xml:space="preserve">further guidance from the State. </w:t>
      </w:r>
    </w:p>
    <w:p w14:paraId="084DE286" w14:textId="77777777" w:rsidR="0001220C" w:rsidRPr="00132B46" w:rsidRDefault="0001220C" w:rsidP="0001220C">
      <w:pPr>
        <w:rPr>
          <w:bCs/>
          <w:w w:val="105"/>
        </w:rPr>
      </w:pPr>
    </w:p>
    <w:p w14:paraId="3B558BA7" w14:textId="495EEE84" w:rsidR="0001220C" w:rsidRPr="00EF6FDF" w:rsidRDefault="008415E7" w:rsidP="0003405D">
      <w:pPr>
        <w:rPr>
          <w:rFonts w:ascii="Times New Roman" w:hAnsi="Times New Roman" w:cs="Times New Roman"/>
          <w:bCs/>
          <w:w w:val="105"/>
          <w:sz w:val="24"/>
          <w:szCs w:val="24"/>
        </w:rPr>
      </w:pPr>
      <w:r w:rsidRPr="00132B46">
        <w:rPr>
          <w:bCs/>
          <w:w w:val="105"/>
        </w:rPr>
        <w:t xml:space="preserve">Copies of the state and federal notices can be found here </w:t>
      </w:r>
      <w:hyperlink r:id="rId8" w:history="1">
        <w:r w:rsidR="002927F5" w:rsidRPr="00132B46">
          <w:rPr>
            <w:rStyle w:val="Hyperlink"/>
          </w:rPr>
          <w:t>The New Jersey Hospital Association (njha.com)</w:t>
        </w:r>
      </w:hyperlink>
      <w:r w:rsidR="002927F5" w:rsidRPr="00132B46">
        <w:t xml:space="preserve"> </w:t>
      </w:r>
      <w:r w:rsidRPr="00132B46">
        <w:rPr>
          <w:bCs/>
          <w:w w:val="105"/>
        </w:rPr>
        <w:t xml:space="preserve">and here </w:t>
      </w:r>
      <w:hyperlink r:id="rId9" w:history="1">
        <w:r w:rsidR="00D02731" w:rsidRPr="00132B46">
          <w:rPr>
            <w:rStyle w:val="Hyperlink"/>
          </w:rPr>
          <w:t>Standard Notice and Consent Documents Under the No Surprises Act (cms.gov)</w:t>
        </w:r>
      </w:hyperlink>
      <w:r w:rsidR="00D02731" w:rsidRPr="00132B46">
        <w:t xml:space="preserve"> </w:t>
      </w:r>
      <w:r w:rsidRPr="00132B46">
        <w:rPr>
          <w:bCs/>
          <w:w w:val="105"/>
        </w:rPr>
        <w:t>respectively</w:t>
      </w:r>
      <w:r>
        <w:rPr>
          <w:rFonts w:ascii="Times New Roman" w:hAnsi="Times New Roman" w:cs="Times New Roman"/>
          <w:bCs/>
          <w:w w:val="105"/>
          <w:sz w:val="24"/>
          <w:szCs w:val="24"/>
        </w:rPr>
        <w:t>.</w:t>
      </w:r>
    </w:p>
    <w:sectPr w:rsidR="0001220C" w:rsidRPr="00EF6FDF" w:rsidSect="00D728BB">
      <w:headerReference w:type="default" r:id="rId10"/>
      <w:footerReference w:type="default" r:id="rId11"/>
      <w:headerReference w:type="first" r:id="rId12"/>
      <w:footerReference w:type="first" r:id="rId13"/>
      <w:pgSz w:w="12240" w:h="15840"/>
      <w:pgMar w:top="1189" w:right="1460" w:bottom="280" w:left="1200" w:header="0" w:footer="3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C6A5" w14:textId="77777777" w:rsidR="002E32D3" w:rsidRDefault="002E32D3">
      <w:r>
        <w:separator/>
      </w:r>
    </w:p>
  </w:endnote>
  <w:endnote w:type="continuationSeparator" w:id="0">
    <w:p w14:paraId="352FB087" w14:textId="77777777" w:rsidR="002E32D3" w:rsidRDefault="002E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D57A" w14:textId="77777777" w:rsidR="007973DE" w:rsidRDefault="007973D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398F" w14:textId="326382CE" w:rsidR="003F2191" w:rsidRDefault="003F2191">
    <w:pPr>
      <w:pStyle w:val="Footer"/>
    </w:pPr>
    <w:r>
      <w:tab/>
    </w:r>
    <w:r>
      <w:tab/>
    </w:r>
    <w:r>
      <w:rPr>
        <w:noProof/>
      </w:rPr>
      <w:drawing>
        <wp:inline distT="0" distB="0" distL="0" distR="0" wp14:anchorId="415E6FFA" wp14:editId="2430E204">
          <wp:extent cx="751840" cy="418535"/>
          <wp:effectExtent l="0" t="0" r="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343" cy="4282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8F68" w14:textId="77777777" w:rsidR="002E32D3" w:rsidRDefault="002E32D3">
      <w:r>
        <w:separator/>
      </w:r>
    </w:p>
  </w:footnote>
  <w:footnote w:type="continuationSeparator" w:id="0">
    <w:p w14:paraId="0414CD4B" w14:textId="77777777" w:rsidR="002E32D3" w:rsidRDefault="002E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07E7" w14:textId="5AED0E4D" w:rsidR="00D728BB" w:rsidRDefault="00D728BB">
    <w:pPr>
      <w:pStyle w:val="Header"/>
    </w:pPr>
    <w:r>
      <w:rPr>
        <w:noProof/>
      </w:rPr>
      <w:drawing>
        <wp:inline distT="0" distB="0" distL="0" distR="0" wp14:anchorId="534A7C35" wp14:editId="6B8BEE18">
          <wp:extent cx="4835444" cy="1259840"/>
          <wp:effectExtent l="0" t="0" r="3810" b="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849058" cy="12633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D781" w14:textId="77777777" w:rsidR="0021673F" w:rsidRDefault="003F2191" w:rsidP="003F2191">
    <w:pPr>
      <w:pStyle w:val="Header"/>
    </w:pPr>
    <w:r>
      <w:t xml:space="preserve">       </w:t>
    </w:r>
  </w:p>
  <w:p w14:paraId="3D87BD01" w14:textId="069FF0D4" w:rsidR="00482420" w:rsidRPr="00482420" w:rsidRDefault="0021673F" w:rsidP="003F2191">
    <w:pPr>
      <w:pStyle w:val="Header"/>
    </w:pPr>
    <w:r>
      <w:t xml:space="preserve">      </w:t>
    </w:r>
    <w:r w:rsidR="003F2191">
      <w:t xml:space="preserve">  </w:t>
    </w:r>
    <w:r w:rsidR="003F2191">
      <w:rPr>
        <w:noProof/>
      </w:rPr>
      <w:drawing>
        <wp:inline distT="0" distB="0" distL="0" distR="0" wp14:anchorId="3365062F" wp14:editId="341E3D00">
          <wp:extent cx="4835444" cy="1259840"/>
          <wp:effectExtent l="0" t="0" r="381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849058" cy="1263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C09"/>
    <w:multiLevelType w:val="hybridMultilevel"/>
    <w:tmpl w:val="AE8EF714"/>
    <w:lvl w:ilvl="0" w:tplc="67128DB4">
      <w:numFmt w:val="bullet"/>
      <w:lvlText w:val="•"/>
      <w:lvlJc w:val="left"/>
      <w:pPr>
        <w:ind w:left="793" w:hanging="336"/>
      </w:pPr>
      <w:rPr>
        <w:rFonts w:ascii="Arial" w:eastAsia="Arial" w:hAnsi="Arial" w:cs="Arial" w:hint="default"/>
        <w:w w:val="103"/>
        <w:sz w:val="20"/>
        <w:szCs w:val="20"/>
      </w:rPr>
    </w:lvl>
    <w:lvl w:ilvl="1" w:tplc="D49047F8">
      <w:numFmt w:val="bullet"/>
      <w:lvlText w:val="•"/>
      <w:lvlJc w:val="left"/>
      <w:pPr>
        <w:ind w:left="1684" w:hanging="336"/>
      </w:pPr>
      <w:rPr>
        <w:rFonts w:hint="default"/>
      </w:rPr>
    </w:lvl>
    <w:lvl w:ilvl="2" w:tplc="6958E766">
      <w:numFmt w:val="bullet"/>
      <w:lvlText w:val="•"/>
      <w:lvlJc w:val="left"/>
      <w:pPr>
        <w:ind w:left="2568" w:hanging="336"/>
      </w:pPr>
      <w:rPr>
        <w:rFonts w:hint="default"/>
      </w:rPr>
    </w:lvl>
    <w:lvl w:ilvl="3" w:tplc="E64801F0">
      <w:numFmt w:val="bullet"/>
      <w:lvlText w:val="•"/>
      <w:lvlJc w:val="left"/>
      <w:pPr>
        <w:ind w:left="3452" w:hanging="336"/>
      </w:pPr>
      <w:rPr>
        <w:rFonts w:hint="default"/>
      </w:rPr>
    </w:lvl>
    <w:lvl w:ilvl="4" w:tplc="B26087EA">
      <w:numFmt w:val="bullet"/>
      <w:lvlText w:val="•"/>
      <w:lvlJc w:val="left"/>
      <w:pPr>
        <w:ind w:left="4336" w:hanging="336"/>
      </w:pPr>
      <w:rPr>
        <w:rFonts w:hint="default"/>
      </w:rPr>
    </w:lvl>
    <w:lvl w:ilvl="5" w:tplc="C3A63DA2">
      <w:numFmt w:val="bullet"/>
      <w:lvlText w:val="•"/>
      <w:lvlJc w:val="left"/>
      <w:pPr>
        <w:ind w:left="5220" w:hanging="336"/>
      </w:pPr>
      <w:rPr>
        <w:rFonts w:hint="default"/>
      </w:rPr>
    </w:lvl>
    <w:lvl w:ilvl="6" w:tplc="F5F8EC92">
      <w:numFmt w:val="bullet"/>
      <w:lvlText w:val="•"/>
      <w:lvlJc w:val="left"/>
      <w:pPr>
        <w:ind w:left="6104" w:hanging="336"/>
      </w:pPr>
      <w:rPr>
        <w:rFonts w:hint="default"/>
      </w:rPr>
    </w:lvl>
    <w:lvl w:ilvl="7" w:tplc="563484AC">
      <w:numFmt w:val="bullet"/>
      <w:lvlText w:val="•"/>
      <w:lvlJc w:val="left"/>
      <w:pPr>
        <w:ind w:left="6988" w:hanging="336"/>
      </w:pPr>
      <w:rPr>
        <w:rFonts w:hint="default"/>
      </w:rPr>
    </w:lvl>
    <w:lvl w:ilvl="8" w:tplc="50568D94">
      <w:numFmt w:val="bullet"/>
      <w:lvlText w:val="•"/>
      <w:lvlJc w:val="left"/>
      <w:pPr>
        <w:ind w:left="7872" w:hanging="336"/>
      </w:pPr>
      <w:rPr>
        <w:rFonts w:hint="default"/>
      </w:rPr>
    </w:lvl>
  </w:abstractNum>
  <w:abstractNum w:abstractNumId="1" w15:restartNumberingAfterBreak="0">
    <w:nsid w:val="1DB6022B"/>
    <w:multiLevelType w:val="hybridMultilevel"/>
    <w:tmpl w:val="D05A8340"/>
    <w:lvl w:ilvl="0" w:tplc="BE927A1A">
      <w:numFmt w:val="bullet"/>
      <w:lvlText w:val="•"/>
      <w:lvlJc w:val="left"/>
      <w:pPr>
        <w:ind w:left="803" w:hanging="341"/>
      </w:pPr>
      <w:rPr>
        <w:rFonts w:ascii="Arial" w:eastAsia="Arial" w:hAnsi="Arial" w:cs="Arial" w:hint="default"/>
        <w:w w:val="104"/>
        <w:sz w:val="20"/>
        <w:szCs w:val="20"/>
      </w:rPr>
    </w:lvl>
    <w:lvl w:ilvl="1" w:tplc="B88C63AA">
      <w:numFmt w:val="bullet"/>
      <w:lvlText w:val="•"/>
      <w:lvlJc w:val="left"/>
      <w:pPr>
        <w:ind w:left="1678" w:hanging="341"/>
      </w:pPr>
      <w:rPr>
        <w:rFonts w:hint="default"/>
      </w:rPr>
    </w:lvl>
    <w:lvl w:ilvl="2" w:tplc="F4E6D246">
      <w:numFmt w:val="bullet"/>
      <w:lvlText w:val="•"/>
      <w:lvlJc w:val="left"/>
      <w:pPr>
        <w:ind w:left="2556" w:hanging="341"/>
      </w:pPr>
      <w:rPr>
        <w:rFonts w:hint="default"/>
      </w:rPr>
    </w:lvl>
    <w:lvl w:ilvl="3" w:tplc="70C6F866">
      <w:numFmt w:val="bullet"/>
      <w:lvlText w:val="•"/>
      <w:lvlJc w:val="left"/>
      <w:pPr>
        <w:ind w:left="3434" w:hanging="341"/>
      </w:pPr>
      <w:rPr>
        <w:rFonts w:hint="default"/>
      </w:rPr>
    </w:lvl>
    <w:lvl w:ilvl="4" w:tplc="15FA5AD6">
      <w:numFmt w:val="bullet"/>
      <w:lvlText w:val="•"/>
      <w:lvlJc w:val="left"/>
      <w:pPr>
        <w:ind w:left="4312" w:hanging="341"/>
      </w:pPr>
      <w:rPr>
        <w:rFonts w:hint="default"/>
      </w:rPr>
    </w:lvl>
    <w:lvl w:ilvl="5" w:tplc="1F7C305A">
      <w:numFmt w:val="bullet"/>
      <w:lvlText w:val="•"/>
      <w:lvlJc w:val="left"/>
      <w:pPr>
        <w:ind w:left="5190" w:hanging="341"/>
      </w:pPr>
      <w:rPr>
        <w:rFonts w:hint="default"/>
      </w:rPr>
    </w:lvl>
    <w:lvl w:ilvl="6" w:tplc="3F680056">
      <w:numFmt w:val="bullet"/>
      <w:lvlText w:val="•"/>
      <w:lvlJc w:val="left"/>
      <w:pPr>
        <w:ind w:left="6068" w:hanging="341"/>
      </w:pPr>
      <w:rPr>
        <w:rFonts w:hint="default"/>
      </w:rPr>
    </w:lvl>
    <w:lvl w:ilvl="7" w:tplc="312CEF70">
      <w:numFmt w:val="bullet"/>
      <w:lvlText w:val="•"/>
      <w:lvlJc w:val="left"/>
      <w:pPr>
        <w:ind w:left="6946" w:hanging="341"/>
      </w:pPr>
      <w:rPr>
        <w:rFonts w:hint="default"/>
      </w:rPr>
    </w:lvl>
    <w:lvl w:ilvl="8" w:tplc="35DEFCAA">
      <w:numFmt w:val="bullet"/>
      <w:lvlText w:val="•"/>
      <w:lvlJc w:val="left"/>
      <w:pPr>
        <w:ind w:left="7824" w:hanging="341"/>
      </w:pPr>
      <w:rPr>
        <w:rFonts w:hint="default"/>
      </w:rPr>
    </w:lvl>
  </w:abstractNum>
  <w:abstractNum w:abstractNumId="2" w15:restartNumberingAfterBreak="0">
    <w:nsid w:val="26467DB5"/>
    <w:multiLevelType w:val="hybridMultilevel"/>
    <w:tmpl w:val="D97A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F5DA2"/>
    <w:multiLevelType w:val="multilevel"/>
    <w:tmpl w:val="9E221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E769B"/>
    <w:multiLevelType w:val="hybridMultilevel"/>
    <w:tmpl w:val="E782EC32"/>
    <w:lvl w:ilvl="0" w:tplc="DC58DE96">
      <w:start w:val="1"/>
      <w:numFmt w:val="decimal"/>
      <w:lvlText w:val="%1."/>
      <w:lvlJc w:val="left"/>
      <w:pPr>
        <w:ind w:left="378" w:hanging="253"/>
        <w:jc w:val="right"/>
      </w:pPr>
      <w:rPr>
        <w:rFonts w:hint="default"/>
        <w:w w:val="102"/>
      </w:rPr>
    </w:lvl>
    <w:lvl w:ilvl="1" w:tplc="A5D4653E">
      <w:start w:val="1"/>
      <w:numFmt w:val="decimal"/>
      <w:lvlText w:val="%2."/>
      <w:lvlJc w:val="left"/>
      <w:pPr>
        <w:ind w:left="843" w:hanging="345"/>
      </w:pPr>
      <w:rPr>
        <w:rFonts w:ascii="Arial" w:eastAsia="Arial" w:hAnsi="Arial" w:cs="Arial" w:hint="default"/>
        <w:w w:val="109"/>
        <w:sz w:val="22"/>
        <w:szCs w:val="22"/>
      </w:rPr>
    </w:lvl>
    <w:lvl w:ilvl="2" w:tplc="725CA8D4">
      <w:numFmt w:val="bullet"/>
      <w:lvlText w:val="•"/>
      <w:lvlJc w:val="left"/>
      <w:pPr>
        <w:ind w:left="1735" w:hanging="345"/>
      </w:pPr>
      <w:rPr>
        <w:rFonts w:hint="default"/>
      </w:rPr>
    </w:lvl>
    <w:lvl w:ilvl="3" w:tplc="3A16D814">
      <w:numFmt w:val="bullet"/>
      <w:lvlText w:val="•"/>
      <w:lvlJc w:val="left"/>
      <w:pPr>
        <w:ind w:left="2631" w:hanging="345"/>
      </w:pPr>
      <w:rPr>
        <w:rFonts w:hint="default"/>
      </w:rPr>
    </w:lvl>
    <w:lvl w:ilvl="4" w:tplc="EEFCE4AC">
      <w:numFmt w:val="bullet"/>
      <w:lvlText w:val="•"/>
      <w:lvlJc w:val="left"/>
      <w:pPr>
        <w:ind w:left="3526" w:hanging="345"/>
      </w:pPr>
      <w:rPr>
        <w:rFonts w:hint="default"/>
      </w:rPr>
    </w:lvl>
    <w:lvl w:ilvl="5" w:tplc="1B18D798">
      <w:numFmt w:val="bullet"/>
      <w:lvlText w:val="•"/>
      <w:lvlJc w:val="left"/>
      <w:pPr>
        <w:ind w:left="4422" w:hanging="345"/>
      </w:pPr>
      <w:rPr>
        <w:rFonts w:hint="default"/>
      </w:rPr>
    </w:lvl>
    <w:lvl w:ilvl="6" w:tplc="8B188ADA">
      <w:numFmt w:val="bullet"/>
      <w:lvlText w:val="•"/>
      <w:lvlJc w:val="left"/>
      <w:pPr>
        <w:ind w:left="5317" w:hanging="345"/>
      </w:pPr>
      <w:rPr>
        <w:rFonts w:hint="default"/>
      </w:rPr>
    </w:lvl>
    <w:lvl w:ilvl="7" w:tplc="3E3CF826">
      <w:numFmt w:val="bullet"/>
      <w:lvlText w:val="•"/>
      <w:lvlJc w:val="left"/>
      <w:pPr>
        <w:ind w:left="6213" w:hanging="345"/>
      </w:pPr>
      <w:rPr>
        <w:rFonts w:hint="default"/>
      </w:rPr>
    </w:lvl>
    <w:lvl w:ilvl="8" w:tplc="93DE45C2">
      <w:numFmt w:val="bullet"/>
      <w:lvlText w:val="•"/>
      <w:lvlJc w:val="left"/>
      <w:pPr>
        <w:ind w:left="7108" w:hanging="345"/>
      </w:pPr>
      <w:rPr>
        <w:rFonts w:hint="default"/>
      </w:rPr>
    </w:lvl>
  </w:abstractNum>
  <w:abstractNum w:abstractNumId="5" w15:restartNumberingAfterBreak="0">
    <w:nsid w:val="4F874151"/>
    <w:multiLevelType w:val="hybridMultilevel"/>
    <w:tmpl w:val="E09EC3FE"/>
    <w:lvl w:ilvl="0" w:tplc="5FAE0038">
      <w:numFmt w:val="bullet"/>
      <w:lvlText w:val="•"/>
      <w:lvlJc w:val="left"/>
      <w:pPr>
        <w:ind w:left="793" w:hanging="341"/>
      </w:pPr>
      <w:rPr>
        <w:rFonts w:ascii="Arial" w:eastAsia="Arial" w:hAnsi="Arial" w:cs="Arial" w:hint="default"/>
        <w:w w:val="105"/>
        <w:sz w:val="18"/>
        <w:szCs w:val="18"/>
      </w:rPr>
    </w:lvl>
    <w:lvl w:ilvl="1" w:tplc="BAE218E8">
      <w:numFmt w:val="bullet"/>
      <w:lvlText w:val="•"/>
      <w:lvlJc w:val="left"/>
      <w:pPr>
        <w:ind w:left="1684" w:hanging="341"/>
      </w:pPr>
      <w:rPr>
        <w:rFonts w:hint="default"/>
      </w:rPr>
    </w:lvl>
    <w:lvl w:ilvl="2" w:tplc="FB4089A0">
      <w:numFmt w:val="bullet"/>
      <w:lvlText w:val="•"/>
      <w:lvlJc w:val="left"/>
      <w:pPr>
        <w:ind w:left="2568" w:hanging="341"/>
      </w:pPr>
      <w:rPr>
        <w:rFonts w:hint="default"/>
      </w:rPr>
    </w:lvl>
    <w:lvl w:ilvl="3" w:tplc="47CE3C92">
      <w:numFmt w:val="bullet"/>
      <w:lvlText w:val="•"/>
      <w:lvlJc w:val="left"/>
      <w:pPr>
        <w:ind w:left="3452" w:hanging="341"/>
      </w:pPr>
      <w:rPr>
        <w:rFonts w:hint="default"/>
      </w:rPr>
    </w:lvl>
    <w:lvl w:ilvl="4" w:tplc="F6F81798">
      <w:numFmt w:val="bullet"/>
      <w:lvlText w:val="•"/>
      <w:lvlJc w:val="left"/>
      <w:pPr>
        <w:ind w:left="4336" w:hanging="341"/>
      </w:pPr>
      <w:rPr>
        <w:rFonts w:hint="default"/>
      </w:rPr>
    </w:lvl>
    <w:lvl w:ilvl="5" w:tplc="6D78ED08">
      <w:numFmt w:val="bullet"/>
      <w:lvlText w:val="•"/>
      <w:lvlJc w:val="left"/>
      <w:pPr>
        <w:ind w:left="5220" w:hanging="341"/>
      </w:pPr>
      <w:rPr>
        <w:rFonts w:hint="default"/>
      </w:rPr>
    </w:lvl>
    <w:lvl w:ilvl="6" w:tplc="FA86A520">
      <w:numFmt w:val="bullet"/>
      <w:lvlText w:val="•"/>
      <w:lvlJc w:val="left"/>
      <w:pPr>
        <w:ind w:left="6104" w:hanging="341"/>
      </w:pPr>
      <w:rPr>
        <w:rFonts w:hint="default"/>
      </w:rPr>
    </w:lvl>
    <w:lvl w:ilvl="7" w:tplc="4684B1B4">
      <w:numFmt w:val="bullet"/>
      <w:lvlText w:val="•"/>
      <w:lvlJc w:val="left"/>
      <w:pPr>
        <w:ind w:left="6988" w:hanging="341"/>
      </w:pPr>
      <w:rPr>
        <w:rFonts w:hint="default"/>
      </w:rPr>
    </w:lvl>
    <w:lvl w:ilvl="8" w:tplc="EF46DF52">
      <w:numFmt w:val="bullet"/>
      <w:lvlText w:val="•"/>
      <w:lvlJc w:val="left"/>
      <w:pPr>
        <w:ind w:left="7872" w:hanging="341"/>
      </w:pPr>
      <w:rPr>
        <w:rFonts w:hint="default"/>
      </w:rPr>
    </w:lvl>
  </w:abstractNum>
  <w:abstractNum w:abstractNumId="6" w15:restartNumberingAfterBreak="0">
    <w:nsid w:val="7BDC06FC"/>
    <w:multiLevelType w:val="hybridMultilevel"/>
    <w:tmpl w:val="2EF006F2"/>
    <w:lvl w:ilvl="0" w:tplc="C41275F0">
      <w:numFmt w:val="bullet"/>
      <w:lvlText w:val="•"/>
      <w:lvlJc w:val="left"/>
      <w:pPr>
        <w:ind w:left="816" w:hanging="345"/>
      </w:pPr>
      <w:rPr>
        <w:rFonts w:ascii="Arial" w:eastAsia="Arial" w:hAnsi="Arial" w:cs="Arial" w:hint="default"/>
        <w:w w:val="102"/>
        <w:sz w:val="22"/>
        <w:szCs w:val="22"/>
      </w:rPr>
    </w:lvl>
    <w:lvl w:ilvl="1" w:tplc="1264EB2E">
      <w:numFmt w:val="bullet"/>
      <w:lvlText w:val="•"/>
      <w:lvlJc w:val="left"/>
      <w:pPr>
        <w:ind w:left="1706" w:hanging="345"/>
      </w:pPr>
      <w:rPr>
        <w:rFonts w:hint="default"/>
      </w:rPr>
    </w:lvl>
    <w:lvl w:ilvl="2" w:tplc="0A48AC60">
      <w:numFmt w:val="bullet"/>
      <w:lvlText w:val="•"/>
      <w:lvlJc w:val="left"/>
      <w:pPr>
        <w:ind w:left="2592" w:hanging="345"/>
      </w:pPr>
      <w:rPr>
        <w:rFonts w:hint="default"/>
      </w:rPr>
    </w:lvl>
    <w:lvl w:ilvl="3" w:tplc="8A5C4C5A">
      <w:numFmt w:val="bullet"/>
      <w:lvlText w:val="•"/>
      <w:lvlJc w:val="left"/>
      <w:pPr>
        <w:ind w:left="3478" w:hanging="345"/>
      </w:pPr>
      <w:rPr>
        <w:rFonts w:hint="default"/>
      </w:rPr>
    </w:lvl>
    <w:lvl w:ilvl="4" w:tplc="9744BAB8">
      <w:numFmt w:val="bullet"/>
      <w:lvlText w:val="•"/>
      <w:lvlJc w:val="left"/>
      <w:pPr>
        <w:ind w:left="4364" w:hanging="345"/>
      </w:pPr>
      <w:rPr>
        <w:rFonts w:hint="default"/>
      </w:rPr>
    </w:lvl>
    <w:lvl w:ilvl="5" w:tplc="DC380ACC">
      <w:numFmt w:val="bullet"/>
      <w:lvlText w:val="•"/>
      <w:lvlJc w:val="left"/>
      <w:pPr>
        <w:ind w:left="5250" w:hanging="345"/>
      </w:pPr>
      <w:rPr>
        <w:rFonts w:hint="default"/>
      </w:rPr>
    </w:lvl>
    <w:lvl w:ilvl="6" w:tplc="8DF683E0">
      <w:numFmt w:val="bullet"/>
      <w:lvlText w:val="•"/>
      <w:lvlJc w:val="left"/>
      <w:pPr>
        <w:ind w:left="6136" w:hanging="345"/>
      </w:pPr>
      <w:rPr>
        <w:rFonts w:hint="default"/>
      </w:rPr>
    </w:lvl>
    <w:lvl w:ilvl="7" w:tplc="9516DCAA">
      <w:numFmt w:val="bullet"/>
      <w:lvlText w:val="•"/>
      <w:lvlJc w:val="left"/>
      <w:pPr>
        <w:ind w:left="7022" w:hanging="345"/>
      </w:pPr>
      <w:rPr>
        <w:rFonts w:hint="default"/>
      </w:rPr>
    </w:lvl>
    <w:lvl w:ilvl="8" w:tplc="2A9612A2">
      <w:numFmt w:val="bullet"/>
      <w:lvlText w:val="•"/>
      <w:lvlJc w:val="left"/>
      <w:pPr>
        <w:ind w:left="7908" w:hanging="345"/>
      </w:pPr>
      <w:rPr>
        <w:rFont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3DE"/>
    <w:rsid w:val="00005899"/>
    <w:rsid w:val="0001220C"/>
    <w:rsid w:val="000202AA"/>
    <w:rsid w:val="0003091B"/>
    <w:rsid w:val="0003405D"/>
    <w:rsid w:val="000362B7"/>
    <w:rsid w:val="000406AD"/>
    <w:rsid w:val="00057E5C"/>
    <w:rsid w:val="00071828"/>
    <w:rsid w:val="00073B04"/>
    <w:rsid w:val="000B39FD"/>
    <w:rsid w:val="000C3123"/>
    <w:rsid w:val="000C34A1"/>
    <w:rsid w:val="00104663"/>
    <w:rsid w:val="0011516D"/>
    <w:rsid w:val="00132B46"/>
    <w:rsid w:val="00141EF3"/>
    <w:rsid w:val="001518E3"/>
    <w:rsid w:val="0016501A"/>
    <w:rsid w:val="0018456A"/>
    <w:rsid w:val="00190DC8"/>
    <w:rsid w:val="001D78B5"/>
    <w:rsid w:val="001E0276"/>
    <w:rsid w:val="0021673F"/>
    <w:rsid w:val="002203C7"/>
    <w:rsid w:val="0022309B"/>
    <w:rsid w:val="00230F89"/>
    <w:rsid w:val="00243FA4"/>
    <w:rsid w:val="00273B35"/>
    <w:rsid w:val="00291693"/>
    <w:rsid w:val="002927F5"/>
    <w:rsid w:val="00292FA9"/>
    <w:rsid w:val="00296324"/>
    <w:rsid w:val="002A3F51"/>
    <w:rsid w:val="002E32D3"/>
    <w:rsid w:val="002E4100"/>
    <w:rsid w:val="003164CB"/>
    <w:rsid w:val="00337142"/>
    <w:rsid w:val="003A20FC"/>
    <w:rsid w:val="003B085A"/>
    <w:rsid w:val="003D52A7"/>
    <w:rsid w:val="003F2191"/>
    <w:rsid w:val="003F2824"/>
    <w:rsid w:val="00402A9B"/>
    <w:rsid w:val="00415F94"/>
    <w:rsid w:val="00426122"/>
    <w:rsid w:val="00482420"/>
    <w:rsid w:val="00482FA6"/>
    <w:rsid w:val="00485FE9"/>
    <w:rsid w:val="00496C51"/>
    <w:rsid w:val="004B2350"/>
    <w:rsid w:val="004C6C2F"/>
    <w:rsid w:val="004C7C8E"/>
    <w:rsid w:val="004E3583"/>
    <w:rsid w:val="004E63F5"/>
    <w:rsid w:val="004F4A8B"/>
    <w:rsid w:val="00500968"/>
    <w:rsid w:val="00510243"/>
    <w:rsid w:val="00510E18"/>
    <w:rsid w:val="00532E2F"/>
    <w:rsid w:val="0053702C"/>
    <w:rsid w:val="0059149B"/>
    <w:rsid w:val="00597B60"/>
    <w:rsid w:val="005B0B97"/>
    <w:rsid w:val="005B478B"/>
    <w:rsid w:val="005C0038"/>
    <w:rsid w:val="005D479F"/>
    <w:rsid w:val="005D6033"/>
    <w:rsid w:val="005E6189"/>
    <w:rsid w:val="005F6401"/>
    <w:rsid w:val="006001B5"/>
    <w:rsid w:val="0064217E"/>
    <w:rsid w:val="00650B20"/>
    <w:rsid w:val="00653209"/>
    <w:rsid w:val="0066147A"/>
    <w:rsid w:val="00663ADE"/>
    <w:rsid w:val="0069074B"/>
    <w:rsid w:val="006B6301"/>
    <w:rsid w:val="006D5FA5"/>
    <w:rsid w:val="006F0421"/>
    <w:rsid w:val="00731DA6"/>
    <w:rsid w:val="00737D06"/>
    <w:rsid w:val="007540AC"/>
    <w:rsid w:val="0075423F"/>
    <w:rsid w:val="007708E6"/>
    <w:rsid w:val="00795FF1"/>
    <w:rsid w:val="007973DE"/>
    <w:rsid w:val="007B720B"/>
    <w:rsid w:val="007D68AB"/>
    <w:rsid w:val="00820D2D"/>
    <w:rsid w:val="008415E7"/>
    <w:rsid w:val="00841CCE"/>
    <w:rsid w:val="00847E4F"/>
    <w:rsid w:val="00857D95"/>
    <w:rsid w:val="008A131B"/>
    <w:rsid w:val="008B4336"/>
    <w:rsid w:val="008B606C"/>
    <w:rsid w:val="008D634F"/>
    <w:rsid w:val="008F3B3A"/>
    <w:rsid w:val="008F4B86"/>
    <w:rsid w:val="0090631B"/>
    <w:rsid w:val="009529CB"/>
    <w:rsid w:val="009530F6"/>
    <w:rsid w:val="00973FFD"/>
    <w:rsid w:val="009841A6"/>
    <w:rsid w:val="0099733A"/>
    <w:rsid w:val="009A24E4"/>
    <w:rsid w:val="009A6CB9"/>
    <w:rsid w:val="009C52EB"/>
    <w:rsid w:val="009D20DC"/>
    <w:rsid w:val="009D2B29"/>
    <w:rsid w:val="009D4BBC"/>
    <w:rsid w:val="009D4CD4"/>
    <w:rsid w:val="009F253F"/>
    <w:rsid w:val="009F3F73"/>
    <w:rsid w:val="009F6685"/>
    <w:rsid w:val="00A16CE8"/>
    <w:rsid w:val="00A47A9D"/>
    <w:rsid w:val="00A720C7"/>
    <w:rsid w:val="00A8508C"/>
    <w:rsid w:val="00A91332"/>
    <w:rsid w:val="00A914AB"/>
    <w:rsid w:val="00AA140D"/>
    <w:rsid w:val="00AD1FD1"/>
    <w:rsid w:val="00AE2B5A"/>
    <w:rsid w:val="00AF21C8"/>
    <w:rsid w:val="00B16C8B"/>
    <w:rsid w:val="00B346D2"/>
    <w:rsid w:val="00B56BF3"/>
    <w:rsid w:val="00B92EBB"/>
    <w:rsid w:val="00BA6C43"/>
    <w:rsid w:val="00BB32FF"/>
    <w:rsid w:val="00BB7F69"/>
    <w:rsid w:val="00BC6E92"/>
    <w:rsid w:val="00BD7B5A"/>
    <w:rsid w:val="00C0293F"/>
    <w:rsid w:val="00C10DE9"/>
    <w:rsid w:val="00C33D15"/>
    <w:rsid w:val="00C4304A"/>
    <w:rsid w:val="00C5587E"/>
    <w:rsid w:val="00C65D39"/>
    <w:rsid w:val="00C7371D"/>
    <w:rsid w:val="00C833A9"/>
    <w:rsid w:val="00C85D47"/>
    <w:rsid w:val="00C87DCD"/>
    <w:rsid w:val="00C96BA0"/>
    <w:rsid w:val="00CB6296"/>
    <w:rsid w:val="00CB663A"/>
    <w:rsid w:val="00CE4548"/>
    <w:rsid w:val="00CF1D77"/>
    <w:rsid w:val="00CF3603"/>
    <w:rsid w:val="00D02731"/>
    <w:rsid w:val="00D22A6E"/>
    <w:rsid w:val="00D53B14"/>
    <w:rsid w:val="00D57287"/>
    <w:rsid w:val="00D61E94"/>
    <w:rsid w:val="00D728BB"/>
    <w:rsid w:val="00D821B0"/>
    <w:rsid w:val="00D84E5C"/>
    <w:rsid w:val="00D86AE4"/>
    <w:rsid w:val="00D95518"/>
    <w:rsid w:val="00D9647D"/>
    <w:rsid w:val="00DB0660"/>
    <w:rsid w:val="00DC262F"/>
    <w:rsid w:val="00DD33EF"/>
    <w:rsid w:val="00E001CB"/>
    <w:rsid w:val="00E37D18"/>
    <w:rsid w:val="00E72A81"/>
    <w:rsid w:val="00E9053B"/>
    <w:rsid w:val="00EE5B18"/>
    <w:rsid w:val="00EF6FDF"/>
    <w:rsid w:val="00F111CC"/>
    <w:rsid w:val="00F261B2"/>
    <w:rsid w:val="00F32398"/>
    <w:rsid w:val="00F36FAA"/>
    <w:rsid w:val="00F37D62"/>
    <w:rsid w:val="00F37E5F"/>
    <w:rsid w:val="00FB71DD"/>
    <w:rsid w:val="00FD11A7"/>
    <w:rsid w:val="00FD1FE2"/>
    <w:rsid w:val="00FD261C"/>
    <w:rsid w:val="00FD4E07"/>
    <w:rsid w:val="00FE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9514"/>
  <w15:docId w15:val="{1A951E52-60CA-4858-9258-4CD8B4C8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4"/>
      <w:outlineLvl w:val="0"/>
    </w:pPr>
    <w:rPr>
      <w:b/>
      <w:bCs/>
    </w:rPr>
  </w:style>
  <w:style w:type="paragraph" w:styleId="Heading2">
    <w:name w:val="heading 2"/>
    <w:basedOn w:val="Normal"/>
    <w:uiPriority w:val="9"/>
    <w:unhideWhenUsed/>
    <w:qFormat/>
    <w:pPr>
      <w:ind w:left="20"/>
      <w:outlineLvl w:val="1"/>
    </w:pPr>
    <w:rPr>
      <w:b/>
      <w:bCs/>
      <w:i/>
    </w:rPr>
  </w:style>
  <w:style w:type="paragraph" w:styleId="Heading3">
    <w:name w:val="heading 3"/>
    <w:basedOn w:val="Normal"/>
    <w:next w:val="Normal"/>
    <w:link w:val="Heading3Char"/>
    <w:uiPriority w:val="9"/>
    <w:semiHidden/>
    <w:unhideWhenUsed/>
    <w:qFormat/>
    <w:rsid w:val="003D52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3" w:hanging="3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149B"/>
    <w:pPr>
      <w:tabs>
        <w:tab w:val="center" w:pos="4680"/>
        <w:tab w:val="right" w:pos="9360"/>
      </w:tabs>
    </w:pPr>
  </w:style>
  <w:style w:type="character" w:customStyle="1" w:styleId="HeaderChar">
    <w:name w:val="Header Char"/>
    <w:basedOn w:val="DefaultParagraphFont"/>
    <w:link w:val="Header"/>
    <w:uiPriority w:val="99"/>
    <w:rsid w:val="0059149B"/>
    <w:rPr>
      <w:rFonts w:ascii="Arial" w:eastAsia="Arial" w:hAnsi="Arial" w:cs="Arial"/>
    </w:rPr>
  </w:style>
  <w:style w:type="paragraph" w:styleId="Footer">
    <w:name w:val="footer"/>
    <w:basedOn w:val="Normal"/>
    <w:link w:val="FooterChar"/>
    <w:uiPriority w:val="99"/>
    <w:unhideWhenUsed/>
    <w:rsid w:val="0059149B"/>
    <w:pPr>
      <w:tabs>
        <w:tab w:val="center" w:pos="4680"/>
        <w:tab w:val="right" w:pos="9360"/>
      </w:tabs>
    </w:pPr>
  </w:style>
  <w:style w:type="character" w:customStyle="1" w:styleId="FooterChar">
    <w:name w:val="Footer Char"/>
    <w:basedOn w:val="DefaultParagraphFont"/>
    <w:link w:val="Footer"/>
    <w:uiPriority w:val="99"/>
    <w:rsid w:val="0059149B"/>
    <w:rPr>
      <w:rFonts w:ascii="Arial" w:eastAsia="Arial" w:hAnsi="Arial" w:cs="Arial"/>
    </w:rPr>
  </w:style>
  <w:style w:type="paragraph" w:styleId="BalloonText">
    <w:name w:val="Balloon Text"/>
    <w:basedOn w:val="Normal"/>
    <w:link w:val="BalloonTextChar"/>
    <w:uiPriority w:val="99"/>
    <w:semiHidden/>
    <w:unhideWhenUsed/>
    <w:rsid w:val="00220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3C7"/>
    <w:rPr>
      <w:rFonts w:ascii="Segoe UI" w:eastAsia="Arial" w:hAnsi="Segoe UI" w:cs="Segoe UI"/>
      <w:sz w:val="18"/>
      <w:szCs w:val="18"/>
    </w:rPr>
  </w:style>
  <w:style w:type="table" w:styleId="TableGrid">
    <w:name w:val="Table Grid"/>
    <w:basedOn w:val="TableNormal"/>
    <w:uiPriority w:val="39"/>
    <w:rsid w:val="00291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D52A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D52A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27F5"/>
    <w:rPr>
      <w:color w:val="0000FF"/>
      <w:u w:val="single"/>
    </w:rPr>
  </w:style>
  <w:style w:type="character" w:styleId="CommentReference">
    <w:name w:val="annotation reference"/>
    <w:basedOn w:val="DefaultParagraphFont"/>
    <w:uiPriority w:val="99"/>
    <w:semiHidden/>
    <w:unhideWhenUsed/>
    <w:rsid w:val="009F253F"/>
    <w:rPr>
      <w:sz w:val="16"/>
      <w:szCs w:val="16"/>
    </w:rPr>
  </w:style>
  <w:style w:type="paragraph" w:styleId="CommentText">
    <w:name w:val="annotation text"/>
    <w:basedOn w:val="Normal"/>
    <w:link w:val="CommentTextChar"/>
    <w:uiPriority w:val="99"/>
    <w:semiHidden/>
    <w:unhideWhenUsed/>
    <w:rsid w:val="009F253F"/>
    <w:rPr>
      <w:sz w:val="20"/>
      <w:szCs w:val="20"/>
    </w:rPr>
  </w:style>
  <w:style w:type="character" w:customStyle="1" w:styleId="CommentTextChar">
    <w:name w:val="Comment Text Char"/>
    <w:basedOn w:val="DefaultParagraphFont"/>
    <w:link w:val="CommentText"/>
    <w:uiPriority w:val="99"/>
    <w:semiHidden/>
    <w:rsid w:val="009F253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F253F"/>
    <w:rPr>
      <w:b/>
      <w:bCs/>
    </w:rPr>
  </w:style>
  <w:style w:type="character" w:customStyle="1" w:styleId="CommentSubjectChar">
    <w:name w:val="Comment Subject Char"/>
    <w:basedOn w:val="CommentTextChar"/>
    <w:link w:val="CommentSubject"/>
    <w:uiPriority w:val="99"/>
    <w:semiHidden/>
    <w:rsid w:val="009F253F"/>
    <w:rPr>
      <w:rFonts w:ascii="Arial" w:eastAsia="Arial" w:hAnsi="Arial" w:cs="Arial"/>
      <w:b/>
      <w:bCs/>
      <w:sz w:val="20"/>
      <w:szCs w:val="20"/>
    </w:rPr>
  </w:style>
  <w:style w:type="paragraph" w:styleId="Revision">
    <w:name w:val="Revision"/>
    <w:hidden/>
    <w:uiPriority w:val="99"/>
    <w:semiHidden/>
    <w:rsid w:val="004C7C8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02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jha.com/resources/toolkits/oon-implementation-toolk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files/document/standard-notice-consent-forms-nonparticipating-providers-emergency-facilities-regarding-consumer.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F9F1-0D7D-42C0-9654-9004997E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1049</Words>
  <Characters>5984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Picklo</dc:creator>
  <cp:lastModifiedBy>Colleen Picklo</cp:lastModifiedBy>
  <cp:revision>2</cp:revision>
  <cp:lastPrinted>2021-11-19T20:19:00Z</cp:lastPrinted>
  <dcterms:created xsi:type="dcterms:W3CDTF">2021-12-15T18:21:00Z</dcterms:created>
  <dcterms:modified xsi:type="dcterms:W3CDTF">2021-12-15T18:21:00Z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Xerox WorkCentre 5330</vt:lpwstr>
  </property>
  <property fmtid="{D5CDD505-2E9C-101B-9397-08002B2CF9AE}" pid="4" name="LastSaved">
    <vt:filetime>2019-02-28T00:00:00Z</vt:filetime>
  </property>
</Properties>
</file>