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9747" w14:textId="77777777" w:rsidR="00493DAF" w:rsidRDefault="00493DAF">
      <w:pPr>
        <w:rPr>
          <w:sz w:val="22"/>
        </w:rPr>
      </w:pPr>
    </w:p>
    <w:p w14:paraId="07B05403" w14:textId="77777777" w:rsidR="00F868E5" w:rsidRPr="00B41FD0" w:rsidRDefault="00F868E5" w:rsidP="00F868E5">
      <w:pPr>
        <w:spacing w:line="300" w:lineRule="atLeast"/>
        <w:jc w:val="both"/>
        <w:rPr>
          <w:rFonts w:ascii="Arial" w:hAnsi="Arial" w:cs="Arial"/>
        </w:rPr>
      </w:pPr>
      <w:r w:rsidRPr="00B41FD0">
        <w:rPr>
          <w:rFonts w:ascii="Arial" w:hAnsi="Arial" w:cs="Arial"/>
        </w:rPr>
        <w:t xml:space="preserve">The New Jersey Hospital Association’s (“NJHA”) Federal/State Surprise Billing Requirements Toolkit (“Materials”) is intended to serve as tools that member hospitals may use to implement and comply with the requirements of both the New Jersey “Out-of-network Consumer Protection, Transparency, Cost Containment and Accountability Act” and the federal “No Surprises Act.”  Member hospitals should not regard any information provided in these Materials as specific legal advice, and they should consult with their own legal counsel for additional guidance as appropriate. NJHA and any other party involved in creating, producing, or delivering these Materials shall not be liable for any direct, incidental, consequential, indirect, or punitive damages arising out of the use of these Materials. The further distribution of these Materials is prohibited without the prior written consent of NJHA. </w:t>
      </w:r>
    </w:p>
    <w:p w14:paraId="12939E6E" w14:textId="77777777" w:rsidR="00F868E5" w:rsidRPr="00B41FD0" w:rsidRDefault="00F868E5" w:rsidP="00F868E5">
      <w:pPr>
        <w:spacing w:line="300" w:lineRule="atLeast"/>
        <w:jc w:val="both"/>
        <w:rPr>
          <w:rFonts w:ascii="Arial" w:hAnsi="Arial" w:cs="Arial"/>
        </w:rPr>
      </w:pPr>
      <w:r w:rsidRPr="00B41FD0">
        <w:rPr>
          <w:rFonts w:ascii="Arial" w:hAnsi="Arial" w:cs="Arial"/>
        </w:rPr>
        <w:t xml:space="preserve">The information contained within the Materials is provided to assist members’ compliance efforts to protect consumers from surprise medical bills as required by law effective Jan. 1, 2022.  However, it must be noted that the federal law requirements were issued as interim final rules—that are subject to change and are only accurate as of the date released. </w:t>
      </w:r>
    </w:p>
    <w:p w14:paraId="355A9C4D" w14:textId="77777777" w:rsidR="00F868E5" w:rsidRDefault="00F868E5">
      <w:pPr>
        <w:rPr>
          <w:rFonts w:ascii="Arial" w:hAnsi="Arial" w:cs="Arial"/>
          <w:sz w:val="22"/>
        </w:rPr>
      </w:pPr>
      <w:r>
        <w:rPr>
          <w:rFonts w:ascii="Arial" w:hAnsi="Arial" w:cs="Arial"/>
          <w:sz w:val="22"/>
        </w:rPr>
        <w:br w:type="page"/>
      </w:r>
    </w:p>
    <w:p w14:paraId="3D07E762" w14:textId="77777777" w:rsidR="00F868E5" w:rsidRDefault="00F868E5" w:rsidP="00493DAF">
      <w:pPr>
        <w:jc w:val="both"/>
        <w:rPr>
          <w:rFonts w:ascii="Arial" w:hAnsi="Arial" w:cs="Arial"/>
          <w:sz w:val="22"/>
        </w:rPr>
      </w:pPr>
    </w:p>
    <w:p w14:paraId="5061CDA1" w14:textId="702B0266" w:rsidR="00861A34" w:rsidRPr="00493DAF" w:rsidRDefault="00861A34" w:rsidP="00493DAF">
      <w:pPr>
        <w:jc w:val="both"/>
        <w:rPr>
          <w:rFonts w:ascii="Arial" w:hAnsi="Arial" w:cs="Arial"/>
          <w:sz w:val="22"/>
        </w:rPr>
      </w:pPr>
      <w:r w:rsidRPr="00493DAF">
        <w:rPr>
          <w:rFonts w:ascii="Arial" w:hAnsi="Arial" w:cs="Arial"/>
          <w:sz w:val="22"/>
        </w:rPr>
        <w:t xml:space="preserve">Both the New Jersey out-of-network law and the </w:t>
      </w:r>
      <w:r w:rsidR="001B3AFA" w:rsidRPr="00493DAF">
        <w:rPr>
          <w:rFonts w:ascii="Arial" w:hAnsi="Arial" w:cs="Arial"/>
          <w:sz w:val="22"/>
        </w:rPr>
        <w:t xml:space="preserve">federal </w:t>
      </w:r>
      <w:r w:rsidRPr="00493DAF">
        <w:rPr>
          <w:rFonts w:ascii="Arial" w:hAnsi="Arial" w:cs="Arial"/>
          <w:sz w:val="22"/>
        </w:rPr>
        <w:t xml:space="preserve">No Surprises Act established independent dispute resolution (IDR) processes to resolve payment disputes between out-of-network providers and carriers. </w:t>
      </w:r>
    </w:p>
    <w:p w14:paraId="3758E29E" w14:textId="70642AD1" w:rsidR="00330A89" w:rsidRPr="00493DAF" w:rsidRDefault="00861A34" w:rsidP="00493DAF">
      <w:pPr>
        <w:jc w:val="both"/>
        <w:rPr>
          <w:rFonts w:ascii="Arial" w:hAnsi="Arial" w:cs="Arial"/>
          <w:sz w:val="22"/>
        </w:rPr>
      </w:pPr>
      <w:r w:rsidRPr="00493DAF">
        <w:rPr>
          <w:rFonts w:ascii="Arial" w:hAnsi="Arial" w:cs="Arial"/>
          <w:sz w:val="22"/>
        </w:rPr>
        <w:t>While both processes are “baseball-style” arbitration, meaning that each party makes an offer and the arbit</w:t>
      </w:r>
      <w:r w:rsidR="0074036D" w:rsidRPr="00493DAF">
        <w:rPr>
          <w:rFonts w:ascii="Arial" w:hAnsi="Arial" w:cs="Arial"/>
          <w:sz w:val="22"/>
        </w:rPr>
        <w:t>rator</w:t>
      </w:r>
      <w:r w:rsidRPr="00493DAF">
        <w:rPr>
          <w:rFonts w:ascii="Arial" w:hAnsi="Arial" w:cs="Arial"/>
          <w:sz w:val="22"/>
        </w:rPr>
        <w:t xml:space="preserve"> chooses one</w:t>
      </w:r>
      <w:r w:rsidR="001B3AFA" w:rsidRPr="00493DAF">
        <w:rPr>
          <w:rFonts w:ascii="Arial" w:hAnsi="Arial" w:cs="Arial"/>
          <w:sz w:val="22"/>
        </w:rPr>
        <w:t xml:space="preserve"> as the payment amount</w:t>
      </w:r>
      <w:r w:rsidRPr="00493DAF">
        <w:rPr>
          <w:rFonts w:ascii="Arial" w:hAnsi="Arial" w:cs="Arial"/>
          <w:sz w:val="22"/>
        </w:rPr>
        <w:t>,</w:t>
      </w:r>
      <w:r w:rsidR="00330A89" w:rsidRPr="00493DAF">
        <w:rPr>
          <w:rFonts w:ascii="Arial" w:hAnsi="Arial" w:cs="Arial"/>
          <w:sz w:val="22"/>
        </w:rPr>
        <w:t xml:space="preserve"> </w:t>
      </w:r>
      <w:r w:rsidR="0085789F" w:rsidRPr="00493DAF">
        <w:rPr>
          <w:rFonts w:ascii="Arial" w:hAnsi="Arial" w:cs="Arial"/>
          <w:sz w:val="22"/>
        </w:rPr>
        <w:t xml:space="preserve">the specifics of the processes </w:t>
      </w:r>
      <w:r w:rsidR="009053C7" w:rsidRPr="00493DAF">
        <w:rPr>
          <w:rFonts w:ascii="Arial" w:hAnsi="Arial" w:cs="Arial"/>
          <w:sz w:val="22"/>
        </w:rPr>
        <w:t xml:space="preserve">concerning </w:t>
      </w:r>
      <w:r w:rsidR="00A341B0" w:rsidRPr="00493DAF">
        <w:rPr>
          <w:rFonts w:ascii="Arial" w:hAnsi="Arial" w:cs="Arial"/>
          <w:sz w:val="22"/>
        </w:rPr>
        <w:t xml:space="preserve">the </w:t>
      </w:r>
      <w:r w:rsidR="00425113" w:rsidRPr="00493DAF">
        <w:rPr>
          <w:rFonts w:ascii="Arial" w:hAnsi="Arial" w:cs="Arial"/>
          <w:sz w:val="22"/>
        </w:rPr>
        <w:t>factors for consideration</w:t>
      </w:r>
      <w:r w:rsidR="00110F82" w:rsidRPr="00493DAF">
        <w:rPr>
          <w:rFonts w:ascii="Arial" w:hAnsi="Arial" w:cs="Arial"/>
          <w:sz w:val="22"/>
        </w:rPr>
        <w:t xml:space="preserve">, the assignment of independent dispute resolution entities </w:t>
      </w:r>
      <w:r w:rsidR="00D169E7" w:rsidRPr="00493DAF">
        <w:rPr>
          <w:rFonts w:ascii="Arial" w:hAnsi="Arial" w:cs="Arial"/>
          <w:sz w:val="22"/>
        </w:rPr>
        <w:t xml:space="preserve">(“IDREs”) </w:t>
      </w:r>
      <w:r w:rsidR="00110F82" w:rsidRPr="00493DAF">
        <w:rPr>
          <w:rFonts w:ascii="Arial" w:hAnsi="Arial" w:cs="Arial"/>
          <w:sz w:val="22"/>
        </w:rPr>
        <w:t>and</w:t>
      </w:r>
      <w:r w:rsidR="00425113" w:rsidRPr="00493DAF">
        <w:rPr>
          <w:rFonts w:ascii="Arial" w:hAnsi="Arial" w:cs="Arial"/>
          <w:sz w:val="22"/>
        </w:rPr>
        <w:t xml:space="preserve"> </w:t>
      </w:r>
      <w:r w:rsidR="00110F82" w:rsidRPr="00493DAF">
        <w:rPr>
          <w:rFonts w:ascii="Arial" w:hAnsi="Arial" w:cs="Arial"/>
          <w:sz w:val="22"/>
        </w:rPr>
        <w:t xml:space="preserve">deadlines </w:t>
      </w:r>
      <w:r w:rsidR="00425113" w:rsidRPr="00493DAF">
        <w:rPr>
          <w:rFonts w:ascii="Arial" w:hAnsi="Arial" w:cs="Arial"/>
          <w:sz w:val="22"/>
        </w:rPr>
        <w:t>v</w:t>
      </w:r>
      <w:r w:rsidR="0040144F" w:rsidRPr="00493DAF">
        <w:rPr>
          <w:rFonts w:ascii="Arial" w:hAnsi="Arial" w:cs="Arial"/>
          <w:sz w:val="22"/>
        </w:rPr>
        <w:t>a</w:t>
      </w:r>
      <w:r w:rsidR="00425113" w:rsidRPr="00493DAF">
        <w:rPr>
          <w:rFonts w:ascii="Arial" w:hAnsi="Arial" w:cs="Arial"/>
          <w:sz w:val="22"/>
        </w:rPr>
        <w:t xml:space="preserve">ry. </w:t>
      </w:r>
    </w:p>
    <w:p w14:paraId="49ABCA7A" w14:textId="5E9C8549" w:rsidR="00161235" w:rsidRPr="00493DAF" w:rsidRDefault="00425113" w:rsidP="00493DAF">
      <w:pPr>
        <w:jc w:val="both"/>
        <w:rPr>
          <w:rFonts w:ascii="Arial" w:hAnsi="Arial" w:cs="Arial"/>
          <w:sz w:val="22"/>
        </w:rPr>
      </w:pPr>
      <w:r w:rsidRPr="00493DAF">
        <w:rPr>
          <w:rFonts w:ascii="Arial" w:hAnsi="Arial" w:cs="Arial"/>
          <w:sz w:val="22"/>
        </w:rPr>
        <w:t xml:space="preserve">Under New Jersey law, </w:t>
      </w:r>
      <w:r w:rsidR="00BA44EB" w:rsidRPr="00493DAF">
        <w:rPr>
          <w:rFonts w:ascii="Arial" w:hAnsi="Arial" w:cs="Arial"/>
          <w:sz w:val="22"/>
        </w:rPr>
        <w:t xml:space="preserve">the </w:t>
      </w:r>
      <w:r w:rsidR="00ED1C31" w:rsidRPr="00493DAF">
        <w:rPr>
          <w:rFonts w:ascii="Arial" w:hAnsi="Arial" w:cs="Arial"/>
          <w:sz w:val="22"/>
        </w:rPr>
        <w:t xml:space="preserve">parties each provide </w:t>
      </w:r>
      <w:r w:rsidR="00356276" w:rsidRPr="00493DAF">
        <w:rPr>
          <w:rFonts w:ascii="Arial" w:hAnsi="Arial" w:cs="Arial"/>
          <w:sz w:val="22"/>
        </w:rPr>
        <w:t xml:space="preserve">the </w:t>
      </w:r>
      <w:r w:rsidR="0074036D" w:rsidRPr="00493DAF">
        <w:rPr>
          <w:rFonts w:ascii="Arial" w:hAnsi="Arial" w:cs="Arial"/>
          <w:sz w:val="22"/>
        </w:rPr>
        <w:t xml:space="preserve">arbitrators with </w:t>
      </w:r>
      <w:r w:rsidR="00AB2BAA" w:rsidRPr="00493DAF">
        <w:rPr>
          <w:rFonts w:ascii="Arial" w:hAnsi="Arial" w:cs="Arial"/>
          <w:sz w:val="22"/>
        </w:rPr>
        <w:t>a final amount</w:t>
      </w:r>
      <w:r w:rsidR="00F21FE5" w:rsidRPr="00493DAF">
        <w:rPr>
          <w:rFonts w:ascii="Arial" w:hAnsi="Arial" w:cs="Arial"/>
          <w:sz w:val="22"/>
        </w:rPr>
        <w:t xml:space="preserve"> and any supporting documentation that they believe </w:t>
      </w:r>
      <w:r w:rsidR="001B3AFA" w:rsidRPr="00493DAF">
        <w:rPr>
          <w:rFonts w:ascii="Arial" w:hAnsi="Arial" w:cs="Arial"/>
          <w:sz w:val="22"/>
        </w:rPr>
        <w:t>supports</w:t>
      </w:r>
      <w:r w:rsidR="00F21FE5" w:rsidRPr="00493DAF">
        <w:rPr>
          <w:rFonts w:ascii="Arial" w:hAnsi="Arial" w:cs="Arial"/>
          <w:sz w:val="22"/>
        </w:rPr>
        <w:t xml:space="preserve"> their submission </w:t>
      </w:r>
      <w:r w:rsidR="001B3AFA" w:rsidRPr="00493DAF">
        <w:rPr>
          <w:rFonts w:ascii="Arial" w:hAnsi="Arial" w:cs="Arial"/>
          <w:sz w:val="22"/>
        </w:rPr>
        <w:t>regarding</w:t>
      </w:r>
      <w:r w:rsidR="00F21FE5" w:rsidRPr="00493DAF">
        <w:rPr>
          <w:rFonts w:ascii="Arial" w:hAnsi="Arial" w:cs="Arial"/>
          <w:sz w:val="22"/>
        </w:rPr>
        <w:t xml:space="preserve"> the </w:t>
      </w:r>
      <w:r w:rsidR="00161235" w:rsidRPr="00493DAF">
        <w:rPr>
          <w:rFonts w:ascii="Arial" w:hAnsi="Arial" w:cs="Arial"/>
          <w:sz w:val="22"/>
        </w:rPr>
        <w:t xml:space="preserve">correct payment amount. </w:t>
      </w:r>
      <w:r w:rsidR="0040144F" w:rsidRPr="00493DAF">
        <w:rPr>
          <w:rFonts w:ascii="Arial" w:hAnsi="Arial" w:cs="Arial"/>
          <w:sz w:val="22"/>
        </w:rPr>
        <w:t xml:space="preserve"> </w:t>
      </w:r>
    </w:p>
    <w:p w14:paraId="4E6478EF" w14:textId="6A58A4F2" w:rsidR="00425113" w:rsidRPr="00493DAF" w:rsidRDefault="001B3AFA" w:rsidP="00493DAF">
      <w:pPr>
        <w:jc w:val="both"/>
        <w:rPr>
          <w:rFonts w:ascii="Arial" w:hAnsi="Arial" w:cs="Arial"/>
          <w:sz w:val="22"/>
        </w:rPr>
      </w:pPr>
      <w:r w:rsidRPr="00493DAF">
        <w:rPr>
          <w:rFonts w:ascii="Arial" w:hAnsi="Arial" w:cs="Arial"/>
          <w:sz w:val="22"/>
        </w:rPr>
        <w:t>However</w:t>
      </w:r>
      <w:r w:rsidR="00161235" w:rsidRPr="00493DAF">
        <w:rPr>
          <w:rFonts w:ascii="Arial" w:hAnsi="Arial" w:cs="Arial"/>
          <w:sz w:val="22"/>
        </w:rPr>
        <w:t>, the federal process</w:t>
      </w:r>
      <w:r w:rsidR="0005466D" w:rsidRPr="00493DAF">
        <w:rPr>
          <w:rFonts w:ascii="Arial" w:hAnsi="Arial" w:cs="Arial"/>
          <w:sz w:val="22"/>
        </w:rPr>
        <w:t xml:space="preserve"> </w:t>
      </w:r>
      <w:r w:rsidRPr="00493DAF">
        <w:rPr>
          <w:rFonts w:ascii="Arial" w:hAnsi="Arial" w:cs="Arial"/>
          <w:sz w:val="22"/>
        </w:rPr>
        <w:t xml:space="preserve">allows </w:t>
      </w:r>
      <w:r w:rsidR="0005466D" w:rsidRPr="00493DAF">
        <w:rPr>
          <w:rFonts w:ascii="Arial" w:hAnsi="Arial" w:cs="Arial"/>
          <w:sz w:val="22"/>
        </w:rPr>
        <w:t xml:space="preserve">both parties </w:t>
      </w:r>
      <w:r w:rsidRPr="00493DAF">
        <w:rPr>
          <w:rFonts w:ascii="Arial" w:hAnsi="Arial" w:cs="Arial"/>
          <w:sz w:val="22"/>
        </w:rPr>
        <w:t xml:space="preserve">to </w:t>
      </w:r>
      <w:r w:rsidR="0005466D" w:rsidRPr="00493DAF">
        <w:rPr>
          <w:rFonts w:ascii="Arial" w:hAnsi="Arial" w:cs="Arial"/>
          <w:sz w:val="22"/>
        </w:rPr>
        <w:t xml:space="preserve">submit </w:t>
      </w:r>
      <w:r w:rsidR="00BD1D74" w:rsidRPr="00493DAF">
        <w:rPr>
          <w:rFonts w:ascii="Arial" w:hAnsi="Arial" w:cs="Arial"/>
          <w:sz w:val="22"/>
        </w:rPr>
        <w:t xml:space="preserve">the amount they believe is the correct payment, </w:t>
      </w:r>
      <w:r w:rsidRPr="00493DAF">
        <w:rPr>
          <w:rFonts w:ascii="Arial" w:hAnsi="Arial" w:cs="Arial"/>
          <w:sz w:val="22"/>
        </w:rPr>
        <w:t xml:space="preserve">but </w:t>
      </w:r>
      <w:r w:rsidR="00BD1D74" w:rsidRPr="00493DAF">
        <w:rPr>
          <w:rFonts w:ascii="Arial" w:hAnsi="Arial" w:cs="Arial"/>
          <w:sz w:val="22"/>
        </w:rPr>
        <w:t xml:space="preserve">the arbitrators </w:t>
      </w:r>
      <w:r w:rsidR="00C56741" w:rsidRPr="00493DAF">
        <w:rPr>
          <w:rFonts w:ascii="Arial" w:hAnsi="Arial" w:cs="Arial"/>
          <w:sz w:val="22"/>
        </w:rPr>
        <w:t xml:space="preserve">must begin with the presumption that the qualified payment amount </w:t>
      </w:r>
      <w:r w:rsidR="00A47C81" w:rsidRPr="00493DAF">
        <w:rPr>
          <w:rFonts w:ascii="Arial" w:hAnsi="Arial" w:cs="Arial"/>
          <w:sz w:val="22"/>
        </w:rPr>
        <w:t xml:space="preserve">(QPA) </w:t>
      </w:r>
      <w:r w:rsidR="00C56741" w:rsidRPr="00493DAF">
        <w:rPr>
          <w:rFonts w:ascii="Arial" w:hAnsi="Arial" w:cs="Arial"/>
          <w:sz w:val="22"/>
        </w:rPr>
        <w:t xml:space="preserve">is the correct payment amount.  </w:t>
      </w:r>
      <w:r w:rsidR="0017688F" w:rsidRPr="00493DAF">
        <w:rPr>
          <w:rFonts w:ascii="Arial" w:hAnsi="Arial" w:cs="Arial"/>
          <w:sz w:val="22"/>
        </w:rPr>
        <w:t xml:space="preserve">The qualified payment amount is a concept unique to the federal law and it establishes that the median in-network </w:t>
      </w:r>
      <w:r w:rsidR="00140549" w:rsidRPr="00493DAF">
        <w:rPr>
          <w:rFonts w:ascii="Arial" w:hAnsi="Arial" w:cs="Arial"/>
          <w:sz w:val="22"/>
        </w:rPr>
        <w:t xml:space="preserve">contracted </w:t>
      </w:r>
      <w:r w:rsidR="0017688F" w:rsidRPr="00493DAF">
        <w:rPr>
          <w:rFonts w:ascii="Arial" w:hAnsi="Arial" w:cs="Arial"/>
          <w:sz w:val="22"/>
        </w:rPr>
        <w:t xml:space="preserve">rate, as identified by the payer, </w:t>
      </w:r>
      <w:r w:rsidR="00EE532E" w:rsidRPr="00493DAF">
        <w:rPr>
          <w:rFonts w:ascii="Arial" w:hAnsi="Arial" w:cs="Arial"/>
          <w:sz w:val="22"/>
        </w:rPr>
        <w:t xml:space="preserve">is a </w:t>
      </w:r>
      <w:r w:rsidR="00140549" w:rsidRPr="00493DAF">
        <w:rPr>
          <w:rFonts w:ascii="Arial" w:hAnsi="Arial" w:cs="Arial"/>
          <w:sz w:val="22"/>
        </w:rPr>
        <w:t>rea</w:t>
      </w:r>
      <w:r w:rsidR="0015095D" w:rsidRPr="00493DAF">
        <w:rPr>
          <w:rFonts w:ascii="Arial" w:hAnsi="Arial" w:cs="Arial"/>
          <w:sz w:val="22"/>
        </w:rPr>
        <w:t xml:space="preserve">sonable </w:t>
      </w:r>
      <w:r w:rsidR="00EE532E" w:rsidRPr="00493DAF">
        <w:rPr>
          <w:rFonts w:ascii="Arial" w:hAnsi="Arial" w:cs="Arial"/>
          <w:sz w:val="22"/>
        </w:rPr>
        <w:t>market-based rate</w:t>
      </w:r>
      <w:r w:rsidR="0015095D" w:rsidRPr="00493DAF">
        <w:rPr>
          <w:rFonts w:ascii="Arial" w:hAnsi="Arial" w:cs="Arial"/>
          <w:sz w:val="22"/>
        </w:rPr>
        <w:t>.</w:t>
      </w:r>
      <w:r w:rsidR="00EE532E" w:rsidRPr="00493DAF">
        <w:rPr>
          <w:rFonts w:ascii="Arial" w:hAnsi="Arial" w:cs="Arial"/>
          <w:sz w:val="22"/>
        </w:rPr>
        <w:t xml:space="preserve"> </w:t>
      </w:r>
      <w:r w:rsidR="00AB2BAA" w:rsidRPr="00493DAF">
        <w:rPr>
          <w:rFonts w:ascii="Arial" w:hAnsi="Arial" w:cs="Arial"/>
          <w:sz w:val="22"/>
        </w:rPr>
        <w:t xml:space="preserve"> </w:t>
      </w:r>
      <w:r w:rsidR="00954BC1" w:rsidRPr="00493DAF">
        <w:rPr>
          <w:rFonts w:ascii="Arial" w:hAnsi="Arial" w:cs="Arial"/>
          <w:sz w:val="22"/>
        </w:rPr>
        <w:t xml:space="preserve">The </w:t>
      </w:r>
      <w:r w:rsidR="00196F80" w:rsidRPr="00493DAF">
        <w:rPr>
          <w:rFonts w:ascii="Arial" w:hAnsi="Arial" w:cs="Arial"/>
          <w:sz w:val="22"/>
        </w:rPr>
        <w:t xml:space="preserve">arbitrator </w:t>
      </w:r>
      <w:r w:rsidR="00CD4F09" w:rsidRPr="00493DAF">
        <w:rPr>
          <w:rFonts w:ascii="Arial" w:hAnsi="Arial" w:cs="Arial"/>
          <w:sz w:val="22"/>
        </w:rPr>
        <w:t xml:space="preserve">can consider other factors but only after providers share credible evidence that </w:t>
      </w:r>
      <w:r w:rsidR="00620D4E" w:rsidRPr="00493DAF">
        <w:rPr>
          <w:rFonts w:ascii="Arial" w:hAnsi="Arial" w:cs="Arial"/>
          <w:sz w:val="22"/>
        </w:rPr>
        <w:t xml:space="preserve">a material difference exists. </w:t>
      </w:r>
      <w:r w:rsidR="00196F80" w:rsidRPr="00493DAF">
        <w:rPr>
          <w:rFonts w:ascii="Arial" w:hAnsi="Arial" w:cs="Arial"/>
          <w:sz w:val="22"/>
        </w:rPr>
        <w:t xml:space="preserve"> </w:t>
      </w:r>
      <w:r w:rsidR="003D2EB7" w:rsidRPr="00493DAF">
        <w:rPr>
          <w:rFonts w:ascii="Arial" w:hAnsi="Arial" w:cs="Arial"/>
          <w:sz w:val="22"/>
        </w:rPr>
        <w:t>S</w:t>
      </w:r>
      <w:r w:rsidR="002E3F5B" w:rsidRPr="00493DAF">
        <w:rPr>
          <w:rFonts w:ascii="Arial" w:hAnsi="Arial" w:cs="Arial"/>
          <w:sz w:val="22"/>
        </w:rPr>
        <w:t>everal</w:t>
      </w:r>
      <w:r w:rsidR="003D2EB7" w:rsidRPr="00493DAF">
        <w:rPr>
          <w:rFonts w:ascii="Arial" w:hAnsi="Arial" w:cs="Arial"/>
          <w:sz w:val="22"/>
        </w:rPr>
        <w:t xml:space="preserve"> legal </w:t>
      </w:r>
      <w:r w:rsidR="002E3F5B" w:rsidRPr="00493DAF">
        <w:rPr>
          <w:rFonts w:ascii="Arial" w:hAnsi="Arial" w:cs="Arial"/>
          <w:sz w:val="22"/>
        </w:rPr>
        <w:t>challenges</w:t>
      </w:r>
      <w:r w:rsidR="003D2EB7" w:rsidRPr="00493DAF">
        <w:rPr>
          <w:rFonts w:ascii="Arial" w:hAnsi="Arial" w:cs="Arial"/>
          <w:sz w:val="22"/>
        </w:rPr>
        <w:t>, as well as member</w:t>
      </w:r>
      <w:r w:rsidR="00A47C81" w:rsidRPr="00493DAF">
        <w:rPr>
          <w:rFonts w:ascii="Arial" w:hAnsi="Arial" w:cs="Arial"/>
          <w:sz w:val="22"/>
        </w:rPr>
        <w:t>s of</w:t>
      </w:r>
      <w:r w:rsidR="003D2EB7" w:rsidRPr="00493DAF">
        <w:rPr>
          <w:rFonts w:ascii="Arial" w:hAnsi="Arial" w:cs="Arial"/>
          <w:sz w:val="22"/>
        </w:rPr>
        <w:t xml:space="preserve"> Congress, are questioning the Administration’s provisions related</w:t>
      </w:r>
      <w:r w:rsidR="002E3F5B" w:rsidRPr="00493DAF">
        <w:rPr>
          <w:rFonts w:ascii="Arial" w:hAnsi="Arial" w:cs="Arial"/>
          <w:sz w:val="22"/>
        </w:rPr>
        <w:t xml:space="preserve"> to the QPA</w:t>
      </w:r>
      <w:r w:rsidR="003D2EB7" w:rsidRPr="00493DAF">
        <w:rPr>
          <w:rFonts w:ascii="Arial" w:hAnsi="Arial" w:cs="Arial"/>
          <w:sz w:val="22"/>
        </w:rPr>
        <w:t>.</w:t>
      </w:r>
      <w:r w:rsidR="002E3F5B" w:rsidRPr="00493DAF">
        <w:rPr>
          <w:rFonts w:ascii="Arial" w:hAnsi="Arial" w:cs="Arial"/>
          <w:sz w:val="22"/>
        </w:rPr>
        <w:t xml:space="preserve"> </w:t>
      </w:r>
      <w:r w:rsidR="00B20972" w:rsidRPr="00493DAF">
        <w:rPr>
          <w:rFonts w:ascii="Arial" w:hAnsi="Arial" w:cs="Arial"/>
          <w:sz w:val="22"/>
        </w:rPr>
        <w:t xml:space="preserve"> </w:t>
      </w:r>
      <w:r w:rsidR="00060920" w:rsidRPr="00493DAF">
        <w:rPr>
          <w:rFonts w:ascii="Arial" w:hAnsi="Arial" w:cs="Arial"/>
          <w:sz w:val="22"/>
        </w:rPr>
        <w:t>However, as of publication, the rules are still scheduled to go into effect</w:t>
      </w:r>
      <w:r w:rsidR="002748CC" w:rsidRPr="00493DAF">
        <w:rPr>
          <w:rFonts w:ascii="Arial" w:hAnsi="Arial" w:cs="Arial"/>
          <w:sz w:val="22"/>
        </w:rPr>
        <w:t xml:space="preserve"> on Jan. 1, 2022.</w:t>
      </w:r>
      <w:r w:rsidR="00060920" w:rsidRPr="00493DAF">
        <w:rPr>
          <w:rFonts w:ascii="Arial" w:hAnsi="Arial" w:cs="Arial"/>
          <w:sz w:val="22"/>
        </w:rPr>
        <w:t xml:space="preserve"> </w:t>
      </w:r>
    </w:p>
    <w:p w14:paraId="5ECF6324" w14:textId="29FD49D5" w:rsidR="00CB41D1" w:rsidRPr="00493DAF" w:rsidRDefault="003D2EB7" w:rsidP="00493DAF">
      <w:pPr>
        <w:jc w:val="both"/>
        <w:rPr>
          <w:rFonts w:ascii="Arial" w:hAnsi="Arial" w:cs="Arial"/>
          <w:sz w:val="22"/>
        </w:rPr>
      </w:pPr>
      <w:r w:rsidRPr="00493DAF">
        <w:rPr>
          <w:rFonts w:ascii="Arial" w:hAnsi="Arial" w:cs="Arial"/>
          <w:sz w:val="22"/>
        </w:rPr>
        <w:t xml:space="preserve">NJHA continues to seek clarification concerning the </w:t>
      </w:r>
      <w:r w:rsidR="00CB41D1" w:rsidRPr="00493DAF">
        <w:rPr>
          <w:rFonts w:ascii="Arial" w:hAnsi="Arial" w:cs="Arial"/>
          <w:sz w:val="22"/>
        </w:rPr>
        <w:t xml:space="preserve">outstanding </w:t>
      </w:r>
      <w:r w:rsidRPr="00493DAF">
        <w:rPr>
          <w:rFonts w:ascii="Arial" w:hAnsi="Arial" w:cs="Arial"/>
          <w:sz w:val="22"/>
        </w:rPr>
        <w:t xml:space="preserve">question of </w:t>
      </w:r>
      <w:r w:rsidR="00E937D3" w:rsidRPr="00493DAF">
        <w:rPr>
          <w:rFonts w:ascii="Arial" w:hAnsi="Arial" w:cs="Arial"/>
          <w:sz w:val="22"/>
        </w:rPr>
        <w:t xml:space="preserve">whether New Jersey’s law meets the definition of a “state-specific” law </w:t>
      </w:r>
      <w:r w:rsidR="00E45CA9" w:rsidRPr="00493DAF">
        <w:rPr>
          <w:rFonts w:ascii="Arial" w:hAnsi="Arial" w:cs="Arial"/>
          <w:sz w:val="22"/>
        </w:rPr>
        <w:t>that would take preceden</w:t>
      </w:r>
      <w:r w:rsidR="001B3AFA" w:rsidRPr="00493DAF">
        <w:rPr>
          <w:rFonts w:ascii="Arial" w:hAnsi="Arial" w:cs="Arial"/>
          <w:sz w:val="22"/>
        </w:rPr>
        <w:t>ce</w:t>
      </w:r>
      <w:r w:rsidR="00E45CA9" w:rsidRPr="00493DAF">
        <w:rPr>
          <w:rFonts w:ascii="Arial" w:hAnsi="Arial" w:cs="Arial"/>
          <w:sz w:val="22"/>
        </w:rPr>
        <w:t xml:space="preserve"> </w:t>
      </w:r>
      <w:r w:rsidR="002748CC" w:rsidRPr="00493DAF">
        <w:rPr>
          <w:rFonts w:ascii="Arial" w:hAnsi="Arial" w:cs="Arial"/>
          <w:sz w:val="22"/>
        </w:rPr>
        <w:t>over federal law</w:t>
      </w:r>
      <w:r w:rsidR="00AB3067" w:rsidRPr="00493DAF">
        <w:rPr>
          <w:rFonts w:ascii="Arial" w:hAnsi="Arial" w:cs="Arial"/>
          <w:sz w:val="22"/>
        </w:rPr>
        <w:t xml:space="preserve"> for </w:t>
      </w:r>
      <w:r w:rsidR="00A56F44" w:rsidRPr="00493DAF">
        <w:rPr>
          <w:rFonts w:ascii="Arial" w:hAnsi="Arial" w:cs="Arial"/>
          <w:sz w:val="22"/>
        </w:rPr>
        <w:t xml:space="preserve">plans governed by state law. </w:t>
      </w:r>
      <w:r w:rsidR="00D95F0B" w:rsidRPr="00493DAF">
        <w:rPr>
          <w:rFonts w:ascii="Arial" w:hAnsi="Arial" w:cs="Arial"/>
          <w:sz w:val="22"/>
        </w:rPr>
        <w:t xml:space="preserve">New Jersey’s </w:t>
      </w:r>
      <w:r w:rsidR="00486414" w:rsidRPr="00493DAF">
        <w:rPr>
          <w:rFonts w:ascii="Arial" w:hAnsi="Arial" w:cs="Arial"/>
          <w:sz w:val="22"/>
        </w:rPr>
        <w:t>law does not have an established payment amount</w:t>
      </w:r>
      <w:r w:rsidR="009D4FE8" w:rsidRPr="00493DAF">
        <w:rPr>
          <w:rFonts w:ascii="Arial" w:hAnsi="Arial" w:cs="Arial"/>
          <w:sz w:val="22"/>
        </w:rPr>
        <w:t xml:space="preserve"> for arbitrators to consider</w:t>
      </w:r>
      <w:r w:rsidR="001B3AFA" w:rsidRPr="00493DAF">
        <w:rPr>
          <w:rFonts w:ascii="Arial" w:hAnsi="Arial" w:cs="Arial"/>
          <w:sz w:val="22"/>
        </w:rPr>
        <w:t>.  Therefore</w:t>
      </w:r>
      <w:r w:rsidR="0040144F" w:rsidRPr="00493DAF">
        <w:rPr>
          <w:rFonts w:ascii="Arial" w:hAnsi="Arial" w:cs="Arial"/>
          <w:sz w:val="22"/>
        </w:rPr>
        <w:t xml:space="preserve">, </w:t>
      </w:r>
      <w:r w:rsidR="005A3529" w:rsidRPr="00493DAF">
        <w:rPr>
          <w:rFonts w:ascii="Arial" w:hAnsi="Arial" w:cs="Arial"/>
          <w:sz w:val="22"/>
        </w:rPr>
        <w:t xml:space="preserve">CMS could </w:t>
      </w:r>
      <w:r w:rsidR="001B3AFA" w:rsidRPr="00493DAF">
        <w:rPr>
          <w:rFonts w:ascii="Arial" w:hAnsi="Arial" w:cs="Arial"/>
          <w:sz w:val="22"/>
        </w:rPr>
        <w:t>determine</w:t>
      </w:r>
      <w:r w:rsidR="005A3529" w:rsidRPr="00493DAF">
        <w:rPr>
          <w:rFonts w:ascii="Arial" w:hAnsi="Arial" w:cs="Arial"/>
          <w:sz w:val="22"/>
        </w:rPr>
        <w:t xml:space="preserve"> that </w:t>
      </w:r>
      <w:r w:rsidR="001B3AFA" w:rsidRPr="00493DAF">
        <w:rPr>
          <w:rFonts w:ascii="Arial" w:hAnsi="Arial" w:cs="Arial"/>
          <w:sz w:val="22"/>
        </w:rPr>
        <w:t>New Jersey’s</w:t>
      </w:r>
      <w:r w:rsidR="005A3529" w:rsidRPr="00493DAF">
        <w:rPr>
          <w:rFonts w:ascii="Arial" w:hAnsi="Arial" w:cs="Arial"/>
          <w:sz w:val="22"/>
        </w:rPr>
        <w:t xml:space="preserve"> process does not provide the same level of </w:t>
      </w:r>
      <w:r w:rsidR="001B3AFA" w:rsidRPr="00493DAF">
        <w:rPr>
          <w:rFonts w:ascii="Arial" w:hAnsi="Arial" w:cs="Arial"/>
          <w:sz w:val="22"/>
        </w:rPr>
        <w:t xml:space="preserve">consumer </w:t>
      </w:r>
      <w:r w:rsidR="005A3529" w:rsidRPr="00493DAF">
        <w:rPr>
          <w:rFonts w:ascii="Arial" w:hAnsi="Arial" w:cs="Arial"/>
          <w:sz w:val="22"/>
        </w:rPr>
        <w:t xml:space="preserve">protection and </w:t>
      </w:r>
      <w:r w:rsidR="001C1AA5" w:rsidRPr="00493DAF">
        <w:rPr>
          <w:rFonts w:ascii="Arial" w:hAnsi="Arial" w:cs="Arial"/>
          <w:sz w:val="22"/>
        </w:rPr>
        <w:t xml:space="preserve">would therefore require the federal process </w:t>
      </w:r>
      <w:r w:rsidR="00D310D1" w:rsidRPr="00493DAF">
        <w:rPr>
          <w:rFonts w:ascii="Arial" w:hAnsi="Arial" w:cs="Arial"/>
          <w:sz w:val="22"/>
        </w:rPr>
        <w:t xml:space="preserve">to </w:t>
      </w:r>
      <w:r w:rsidR="001C1AA5" w:rsidRPr="00493DAF">
        <w:rPr>
          <w:rFonts w:ascii="Arial" w:hAnsi="Arial" w:cs="Arial"/>
          <w:sz w:val="22"/>
        </w:rPr>
        <w:t xml:space="preserve">also apply to </w:t>
      </w:r>
      <w:r w:rsidR="00E21856" w:rsidRPr="00493DAF">
        <w:rPr>
          <w:rFonts w:ascii="Arial" w:hAnsi="Arial" w:cs="Arial"/>
          <w:sz w:val="22"/>
        </w:rPr>
        <w:t xml:space="preserve">plans currently subject to state law. </w:t>
      </w:r>
      <w:r w:rsidR="001B51AB" w:rsidRPr="00493DAF">
        <w:rPr>
          <w:rFonts w:ascii="Arial" w:hAnsi="Arial" w:cs="Arial"/>
          <w:sz w:val="22"/>
        </w:rPr>
        <w:t xml:space="preserve"> </w:t>
      </w:r>
      <w:proofErr w:type="gramStart"/>
      <w:r w:rsidR="001B51AB" w:rsidRPr="00493DAF">
        <w:rPr>
          <w:rFonts w:ascii="Arial" w:hAnsi="Arial" w:cs="Arial"/>
          <w:sz w:val="22"/>
        </w:rPr>
        <w:t>In order to</w:t>
      </w:r>
      <w:proofErr w:type="gramEnd"/>
      <w:r w:rsidR="001B51AB" w:rsidRPr="00493DAF">
        <w:rPr>
          <w:rFonts w:ascii="Arial" w:hAnsi="Arial" w:cs="Arial"/>
          <w:sz w:val="22"/>
        </w:rPr>
        <w:t xml:space="preserve"> ensure </w:t>
      </w:r>
      <w:r w:rsidR="004A07A0" w:rsidRPr="00493DAF">
        <w:rPr>
          <w:rFonts w:ascii="Arial" w:hAnsi="Arial" w:cs="Arial"/>
          <w:sz w:val="22"/>
        </w:rPr>
        <w:t>providers are fully informed</w:t>
      </w:r>
      <w:r w:rsidR="00337570" w:rsidRPr="00493DAF">
        <w:rPr>
          <w:rFonts w:ascii="Arial" w:hAnsi="Arial" w:cs="Arial"/>
          <w:sz w:val="22"/>
        </w:rPr>
        <w:t xml:space="preserve"> </w:t>
      </w:r>
      <w:r w:rsidR="001B3AFA" w:rsidRPr="00493DAF">
        <w:rPr>
          <w:rFonts w:ascii="Arial" w:hAnsi="Arial" w:cs="Arial"/>
          <w:sz w:val="22"/>
        </w:rPr>
        <w:t>about</w:t>
      </w:r>
      <w:r w:rsidR="00337570" w:rsidRPr="00493DAF">
        <w:rPr>
          <w:rFonts w:ascii="Arial" w:hAnsi="Arial" w:cs="Arial"/>
          <w:sz w:val="22"/>
        </w:rPr>
        <w:t xml:space="preserve"> the numerous process difference</w:t>
      </w:r>
      <w:r w:rsidR="001B3AFA" w:rsidRPr="00493DAF">
        <w:rPr>
          <w:rFonts w:ascii="Arial" w:hAnsi="Arial" w:cs="Arial"/>
          <w:sz w:val="22"/>
        </w:rPr>
        <w:t>s</w:t>
      </w:r>
      <w:r w:rsidR="004A07A0" w:rsidRPr="00493DAF">
        <w:rPr>
          <w:rFonts w:ascii="Arial" w:hAnsi="Arial" w:cs="Arial"/>
          <w:sz w:val="22"/>
        </w:rPr>
        <w:t xml:space="preserve">, this document </w:t>
      </w:r>
      <w:r w:rsidR="001B3AFA" w:rsidRPr="00493DAF">
        <w:rPr>
          <w:rFonts w:ascii="Arial" w:hAnsi="Arial" w:cs="Arial"/>
          <w:sz w:val="22"/>
        </w:rPr>
        <w:t>has been developed based</w:t>
      </w:r>
      <w:r w:rsidRPr="00493DAF">
        <w:rPr>
          <w:rFonts w:ascii="Arial" w:hAnsi="Arial" w:cs="Arial"/>
          <w:sz w:val="22"/>
        </w:rPr>
        <w:t xml:space="preserve"> </w:t>
      </w:r>
      <w:r w:rsidR="001B3AFA" w:rsidRPr="00493DAF">
        <w:rPr>
          <w:rFonts w:ascii="Arial" w:hAnsi="Arial" w:cs="Arial"/>
          <w:sz w:val="22"/>
        </w:rPr>
        <w:t>o</w:t>
      </w:r>
      <w:r w:rsidR="00E06F71" w:rsidRPr="00493DAF">
        <w:rPr>
          <w:rFonts w:ascii="Arial" w:hAnsi="Arial" w:cs="Arial"/>
          <w:sz w:val="22"/>
        </w:rPr>
        <w:t>n the presumption that state law will continue to apply</w:t>
      </w:r>
      <w:r w:rsidR="00337570" w:rsidRPr="00493DAF">
        <w:rPr>
          <w:rFonts w:ascii="Arial" w:hAnsi="Arial" w:cs="Arial"/>
          <w:sz w:val="22"/>
        </w:rPr>
        <w:t>.</w:t>
      </w:r>
    </w:p>
    <w:p w14:paraId="161C666B" w14:textId="4E427AD5" w:rsidR="00330A89" w:rsidRPr="00493DAF" w:rsidRDefault="00737689" w:rsidP="00493DAF">
      <w:pPr>
        <w:jc w:val="both"/>
        <w:rPr>
          <w:rFonts w:ascii="Arial" w:hAnsi="Arial" w:cs="Arial"/>
          <w:sz w:val="22"/>
        </w:rPr>
      </w:pPr>
      <w:r w:rsidRPr="00493DAF">
        <w:rPr>
          <w:rFonts w:ascii="Arial" w:hAnsi="Arial" w:cs="Arial"/>
          <w:sz w:val="22"/>
        </w:rPr>
        <w:t xml:space="preserve">An </w:t>
      </w:r>
      <w:r w:rsidR="00307E19" w:rsidRPr="00493DAF">
        <w:rPr>
          <w:rFonts w:ascii="Arial" w:hAnsi="Arial" w:cs="Arial"/>
          <w:sz w:val="22"/>
        </w:rPr>
        <w:t>additional pro</w:t>
      </w:r>
      <w:r w:rsidR="0093652E" w:rsidRPr="00493DAF">
        <w:rPr>
          <w:rFonts w:ascii="Arial" w:hAnsi="Arial" w:cs="Arial"/>
          <w:sz w:val="22"/>
        </w:rPr>
        <w:t xml:space="preserve">cess </w:t>
      </w:r>
      <w:r w:rsidR="001D4F2A" w:rsidRPr="00493DAF">
        <w:rPr>
          <w:rFonts w:ascii="Arial" w:hAnsi="Arial" w:cs="Arial"/>
          <w:sz w:val="22"/>
        </w:rPr>
        <w:t>difference</w:t>
      </w:r>
      <w:r w:rsidR="00307E19" w:rsidRPr="00493DAF">
        <w:rPr>
          <w:rFonts w:ascii="Arial" w:hAnsi="Arial" w:cs="Arial"/>
          <w:sz w:val="22"/>
        </w:rPr>
        <w:t xml:space="preserve"> </w:t>
      </w:r>
      <w:r w:rsidR="005E1541" w:rsidRPr="00493DAF">
        <w:rPr>
          <w:rFonts w:ascii="Arial" w:hAnsi="Arial" w:cs="Arial"/>
          <w:sz w:val="22"/>
        </w:rPr>
        <w:t>includ</w:t>
      </w:r>
      <w:r w:rsidRPr="00493DAF">
        <w:rPr>
          <w:rFonts w:ascii="Arial" w:hAnsi="Arial" w:cs="Arial"/>
          <w:sz w:val="22"/>
        </w:rPr>
        <w:t>es</w:t>
      </w:r>
      <w:r w:rsidR="005E1541" w:rsidRPr="00493DAF">
        <w:rPr>
          <w:rFonts w:ascii="Arial" w:hAnsi="Arial" w:cs="Arial"/>
          <w:sz w:val="22"/>
        </w:rPr>
        <w:t xml:space="preserve"> </w:t>
      </w:r>
      <w:r w:rsidR="00FD5256" w:rsidRPr="00493DAF">
        <w:rPr>
          <w:rFonts w:ascii="Arial" w:hAnsi="Arial" w:cs="Arial"/>
          <w:sz w:val="22"/>
        </w:rPr>
        <w:t xml:space="preserve">the </w:t>
      </w:r>
      <w:r w:rsidR="0093652E" w:rsidRPr="00493DAF">
        <w:rPr>
          <w:rFonts w:ascii="Arial" w:hAnsi="Arial" w:cs="Arial"/>
          <w:sz w:val="22"/>
        </w:rPr>
        <w:t>way</w:t>
      </w:r>
      <w:r w:rsidR="00D57839" w:rsidRPr="00493DAF">
        <w:rPr>
          <w:rFonts w:ascii="Arial" w:hAnsi="Arial" w:cs="Arial"/>
          <w:sz w:val="22"/>
        </w:rPr>
        <w:t xml:space="preserve">, and number of, </w:t>
      </w:r>
      <w:r w:rsidR="0093652E" w:rsidRPr="00493DAF">
        <w:rPr>
          <w:rFonts w:ascii="Arial" w:hAnsi="Arial" w:cs="Arial"/>
          <w:sz w:val="22"/>
        </w:rPr>
        <w:t xml:space="preserve">IDREs </w:t>
      </w:r>
      <w:r w:rsidR="00D57839" w:rsidRPr="00493DAF">
        <w:rPr>
          <w:rFonts w:ascii="Arial" w:hAnsi="Arial" w:cs="Arial"/>
          <w:sz w:val="22"/>
        </w:rPr>
        <w:t>to be</w:t>
      </w:r>
      <w:r w:rsidR="0093652E" w:rsidRPr="00493DAF">
        <w:rPr>
          <w:rFonts w:ascii="Arial" w:hAnsi="Arial" w:cs="Arial"/>
          <w:sz w:val="22"/>
        </w:rPr>
        <w:t xml:space="preserve"> selected</w:t>
      </w:r>
      <w:r w:rsidR="00D57839" w:rsidRPr="00493DAF">
        <w:rPr>
          <w:rFonts w:ascii="Arial" w:hAnsi="Arial" w:cs="Arial"/>
          <w:sz w:val="22"/>
        </w:rPr>
        <w:t>.</w:t>
      </w:r>
      <w:r w:rsidR="00612268" w:rsidRPr="00493DAF">
        <w:rPr>
          <w:rFonts w:ascii="Arial" w:hAnsi="Arial" w:cs="Arial"/>
          <w:sz w:val="22"/>
        </w:rPr>
        <w:t xml:space="preserve"> </w:t>
      </w:r>
      <w:r w:rsidR="00A012F6" w:rsidRPr="00493DAF">
        <w:rPr>
          <w:rFonts w:ascii="Arial" w:hAnsi="Arial" w:cs="Arial"/>
          <w:sz w:val="22"/>
        </w:rPr>
        <w:t xml:space="preserve"> </w:t>
      </w:r>
      <w:r w:rsidR="006719A9" w:rsidRPr="00493DAF">
        <w:rPr>
          <w:rFonts w:ascii="Arial" w:hAnsi="Arial" w:cs="Arial"/>
          <w:sz w:val="22"/>
        </w:rPr>
        <w:t xml:space="preserve">New Jersey </w:t>
      </w:r>
      <w:r w:rsidR="00A012F6" w:rsidRPr="00493DAF">
        <w:rPr>
          <w:rFonts w:ascii="Arial" w:hAnsi="Arial" w:cs="Arial"/>
          <w:sz w:val="22"/>
        </w:rPr>
        <w:t>state law allows the Department of Banking and Insurance to</w:t>
      </w:r>
      <w:r w:rsidR="00A4250D" w:rsidRPr="00493DAF">
        <w:rPr>
          <w:rFonts w:ascii="Arial" w:hAnsi="Arial" w:cs="Arial"/>
          <w:sz w:val="22"/>
        </w:rPr>
        <w:t xml:space="preserve"> contract </w:t>
      </w:r>
      <w:r w:rsidR="006B6DC6" w:rsidRPr="00493DAF">
        <w:rPr>
          <w:rFonts w:ascii="Arial" w:hAnsi="Arial" w:cs="Arial"/>
          <w:sz w:val="22"/>
        </w:rPr>
        <w:t xml:space="preserve">through a request for proposal process </w:t>
      </w:r>
      <w:r w:rsidR="00A4250D" w:rsidRPr="00493DAF">
        <w:rPr>
          <w:rFonts w:ascii="Arial" w:hAnsi="Arial" w:cs="Arial"/>
          <w:sz w:val="22"/>
        </w:rPr>
        <w:t xml:space="preserve">with </w:t>
      </w:r>
      <w:r w:rsidR="006D37FC" w:rsidRPr="00493DAF">
        <w:rPr>
          <w:rFonts w:ascii="Arial" w:hAnsi="Arial" w:cs="Arial"/>
          <w:sz w:val="22"/>
        </w:rPr>
        <w:t xml:space="preserve">one or more </w:t>
      </w:r>
      <w:r w:rsidR="00A4250D" w:rsidRPr="00493DAF">
        <w:rPr>
          <w:rFonts w:ascii="Arial" w:hAnsi="Arial" w:cs="Arial"/>
          <w:sz w:val="22"/>
        </w:rPr>
        <w:t>arbitration entit</w:t>
      </w:r>
      <w:r w:rsidR="006D37FC" w:rsidRPr="00493DAF">
        <w:rPr>
          <w:rFonts w:ascii="Arial" w:hAnsi="Arial" w:cs="Arial"/>
          <w:sz w:val="22"/>
        </w:rPr>
        <w:t>ies</w:t>
      </w:r>
      <w:r w:rsidR="00A4250D" w:rsidRPr="00493DAF">
        <w:rPr>
          <w:rFonts w:ascii="Arial" w:hAnsi="Arial" w:cs="Arial"/>
          <w:sz w:val="22"/>
        </w:rPr>
        <w:t xml:space="preserve"> that meet</w:t>
      </w:r>
      <w:r w:rsidR="006D37FC" w:rsidRPr="00493DAF">
        <w:rPr>
          <w:rFonts w:ascii="Arial" w:hAnsi="Arial" w:cs="Arial"/>
          <w:sz w:val="22"/>
        </w:rPr>
        <w:t xml:space="preserve"> the </w:t>
      </w:r>
      <w:r w:rsidR="00A4250D" w:rsidRPr="00493DAF">
        <w:rPr>
          <w:rFonts w:ascii="Arial" w:hAnsi="Arial" w:cs="Arial"/>
          <w:sz w:val="22"/>
        </w:rPr>
        <w:t xml:space="preserve">requirements.  </w:t>
      </w:r>
      <w:proofErr w:type="gramStart"/>
      <w:r w:rsidR="006D37FC" w:rsidRPr="00493DAF">
        <w:rPr>
          <w:rFonts w:ascii="Arial" w:hAnsi="Arial" w:cs="Arial"/>
          <w:sz w:val="22"/>
        </w:rPr>
        <w:t>At this time</w:t>
      </w:r>
      <w:proofErr w:type="gramEnd"/>
      <w:r w:rsidR="006D37FC" w:rsidRPr="00493DAF">
        <w:rPr>
          <w:rFonts w:ascii="Arial" w:hAnsi="Arial" w:cs="Arial"/>
          <w:sz w:val="22"/>
        </w:rPr>
        <w:t>, N</w:t>
      </w:r>
      <w:r w:rsidR="00A47C81" w:rsidRPr="00493DAF">
        <w:rPr>
          <w:rFonts w:ascii="Arial" w:hAnsi="Arial" w:cs="Arial"/>
          <w:sz w:val="22"/>
        </w:rPr>
        <w:t>ew Jersey</w:t>
      </w:r>
      <w:r w:rsidR="006D37FC" w:rsidRPr="00493DAF">
        <w:rPr>
          <w:rFonts w:ascii="Arial" w:hAnsi="Arial" w:cs="Arial"/>
          <w:sz w:val="22"/>
        </w:rPr>
        <w:t xml:space="preserve"> only uses one arbitration entity.  </w:t>
      </w:r>
      <w:r w:rsidR="00E87BE7" w:rsidRPr="00493DAF">
        <w:rPr>
          <w:rFonts w:ascii="Arial" w:hAnsi="Arial" w:cs="Arial"/>
          <w:sz w:val="22"/>
        </w:rPr>
        <w:t xml:space="preserve">For the federal process, CMS will accept applications from arbitration entities, </w:t>
      </w:r>
      <w:r w:rsidR="00480066" w:rsidRPr="00493DAF">
        <w:rPr>
          <w:rFonts w:ascii="Arial" w:hAnsi="Arial" w:cs="Arial"/>
          <w:sz w:val="22"/>
        </w:rPr>
        <w:t xml:space="preserve">allow stakeholders to provide comments on </w:t>
      </w:r>
      <w:r w:rsidR="006719A9" w:rsidRPr="00493DAF">
        <w:rPr>
          <w:rFonts w:ascii="Arial" w:hAnsi="Arial" w:cs="Arial"/>
          <w:sz w:val="22"/>
        </w:rPr>
        <w:t>applicants</w:t>
      </w:r>
      <w:r w:rsidR="00480066" w:rsidRPr="00493DAF">
        <w:rPr>
          <w:rFonts w:ascii="Arial" w:hAnsi="Arial" w:cs="Arial"/>
          <w:sz w:val="22"/>
        </w:rPr>
        <w:t xml:space="preserve"> that meet the requirements and will then </w:t>
      </w:r>
      <w:r w:rsidR="007F4975" w:rsidRPr="00493DAF">
        <w:rPr>
          <w:rFonts w:ascii="Arial" w:hAnsi="Arial" w:cs="Arial"/>
          <w:sz w:val="22"/>
        </w:rPr>
        <w:t xml:space="preserve">approve </w:t>
      </w:r>
      <w:proofErr w:type="gramStart"/>
      <w:r w:rsidR="00693AC6" w:rsidRPr="00493DAF">
        <w:rPr>
          <w:rFonts w:ascii="Arial" w:hAnsi="Arial" w:cs="Arial"/>
          <w:sz w:val="22"/>
        </w:rPr>
        <w:t>a</w:t>
      </w:r>
      <w:r w:rsidR="007F4975" w:rsidRPr="00493DAF">
        <w:rPr>
          <w:rFonts w:ascii="Arial" w:hAnsi="Arial" w:cs="Arial"/>
          <w:sz w:val="22"/>
        </w:rPr>
        <w:t xml:space="preserve"> number of</w:t>
      </w:r>
      <w:proofErr w:type="gramEnd"/>
      <w:r w:rsidR="007F4975" w:rsidRPr="00493DAF">
        <w:rPr>
          <w:rFonts w:ascii="Arial" w:hAnsi="Arial" w:cs="Arial"/>
          <w:sz w:val="22"/>
        </w:rPr>
        <w:t xml:space="preserve"> entities </w:t>
      </w:r>
      <w:r w:rsidR="00C21AE7" w:rsidRPr="00493DAF">
        <w:rPr>
          <w:rFonts w:ascii="Arial" w:hAnsi="Arial" w:cs="Arial"/>
          <w:sz w:val="22"/>
        </w:rPr>
        <w:t xml:space="preserve">from </w:t>
      </w:r>
      <w:r w:rsidR="005E1541" w:rsidRPr="00493DAF">
        <w:rPr>
          <w:rFonts w:ascii="Arial" w:hAnsi="Arial" w:cs="Arial"/>
          <w:sz w:val="22"/>
        </w:rPr>
        <w:t xml:space="preserve">which the parties can </w:t>
      </w:r>
      <w:r w:rsidR="00D20E8C" w:rsidRPr="00493DAF">
        <w:rPr>
          <w:rFonts w:ascii="Arial" w:hAnsi="Arial" w:cs="Arial"/>
          <w:sz w:val="22"/>
        </w:rPr>
        <w:t xml:space="preserve">mutually </w:t>
      </w:r>
      <w:r w:rsidR="005E1541" w:rsidRPr="00493DAF">
        <w:rPr>
          <w:rFonts w:ascii="Arial" w:hAnsi="Arial" w:cs="Arial"/>
          <w:sz w:val="22"/>
        </w:rPr>
        <w:t xml:space="preserve">agree to </w:t>
      </w:r>
      <w:r w:rsidR="00D20E8C" w:rsidRPr="00493DAF">
        <w:rPr>
          <w:rFonts w:ascii="Arial" w:hAnsi="Arial" w:cs="Arial"/>
          <w:sz w:val="22"/>
        </w:rPr>
        <w:t>use</w:t>
      </w:r>
      <w:r w:rsidR="00D169E7" w:rsidRPr="00493DAF">
        <w:rPr>
          <w:rFonts w:ascii="Arial" w:hAnsi="Arial" w:cs="Arial"/>
          <w:sz w:val="22"/>
        </w:rPr>
        <w:t>,</w:t>
      </w:r>
      <w:r w:rsidR="005E1541" w:rsidRPr="00493DAF">
        <w:rPr>
          <w:rFonts w:ascii="Arial" w:hAnsi="Arial" w:cs="Arial"/>
          <w:sz w:val="22"/>
        </w:rPr>
        <w:t xml:space="preserve"> or </w:t>
      </w:r>
      <w:r w:rsidR="006719A9" w:rsidRPr="00493DAF">
        <w:rPr>
          <w:rFonts w:ascii="Arial" w:hAnsi="Arial" w:cs="Arial"/>
          <w:sz w:val="22"/>
        </w:rPr>
        <w:t xml:space="preserve">an arbitration entity will be assigned by </w:t>
      </w:r>
      <w:r w:rsidR="005E1541" w:rsidRPr="00493DAF">
        <w:rPr>
          <w:rFonts w:ascii="Arial" w:hAnsi="Arial" w:cs="Arial"/>
          <w:sz w:val="22"/>
        </w:rPr>
        <w:t>CMS</w:t>
      </w:r>
      <w:r w:rsidR="00D20E8C" w:rsidRPr="00493DAF">
        <w:rPr>
          <w:rFonts w:ascii="Arial" w:hAnsi="Arial" w:cs="Arial"/>
          <w:sz w:val="22"/>
        </w:rPr>
        <w:t xml:space="preserve">. </w:t>
      </w:r>
      <w:r w:rsidR="007F4975" w:rsidRPr="00493DAF">
        <w:rPr>
          <w:rFonts w:ascii="Arial" w:hAnsi="Arial" w:cs="Arial"/>
          <w:sz w:val="22"/>
        </w:rPr>
        <w:t xml:space="preserve"> </w:t>
      </w:r>
    </w:p>
    <w:p w14:paraId="2662A0C9" w14:textId="122888C5" w:rsidR="00330A89" w:rsidRDefault="00B43F6B">
      <w:r>
        <w:rPr>
          <w:rFonts w:ascii="Arial" w:hAnsi="Arial" w:cs="Arial"/>
          <w:noProof/>
          <w:sz w:val="22"/>
        </w:rPr>
        <w:lastRenderedPageBreak/>
        <mc:AlternateContent>
          <mc:Choice Requires="wps">
            <w:drawing>
              <wp:anchor distT="0" distB="0" distL="114300" distR="114300" simplePos="0" relativeHeight="251659264" behindDoc="0" locked="0" layoutInCell="1" allowOverlap="1" wp14:anchorId="6F83CFD0" wp14:editId="75092504">
                <wp:simplePos x="0" y="0"/>
                <wp:positionH relativeFrom="column">
                  <wp:posOffset>12700</wp:posOffset>
                </wp:positionH>
                <wp:positionV relativeFrom="paragraph">
                  <wp:posOffset>43815</wp:posOffset>
                </wp:positionV>
                <wp:extent cx="8204200" cy="46926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8204200" cy="469265"/>
                        </a:xfrm>
                        <a:prstGeom prst="rect">
                          <a:avLst/>
                        </a:prstGeom>
                        <a:solidFill>
                          <a:schemeClr val="lt1"/>
                        </a:solidFill>
                        <a:ln w="6350">
                          <a:noFill/>
                        </a:ln>
                      </wps:spPr>
                      <wps:txbx>
                        <w:txbxContent>
                          <w:p w14:paraId="517FBA4C" w14:textId="77777777" w:rsidR="004F2287" w:rsidRPr="00493DAF" w:rsidRDefault="004F2287" w:rsidP="004F2287">
                            <w:pPr>
                              <w:rPr>
                                <w:rFonts w:ascii="Arial" w:hAnsi="Arial" w:cs="Arial"/>
                                <w:sz w:val="22"/>
                              </w:rPr>
                            </w:pPr>
                            <w:r w:rsidRPr="00493DAF">
                              <w:rPr>
                                <w:rFonts w:ascii="Arial" w:hAnsi="Arial" w:cs="Arial"/>
                                <w:sz w:val="22"/>
                              </w:rPr>
                              <w:t>Below is a chart of the different arbitration deadlines for the various processes</w:t>
                            </w:r>
                            <w:r>
                              <w:rPr>
                                <w:rFonts w:ascii="Arial" w:hAnsi="Arial" w:cs="Arial"/>
                                <w:sz w:val="22"/>
                              </w:rPr>
                              <w:t>.</w:t>
                            </w:r>
                            <w:r w:rsidRPr="00493DAF">
                              <w:rPr>
                                <w:rFonts w:ascii="Arial" w:hAnsi="Arial" w:cs="Arial"/>
                                <w:sz w:val="22"/>
                              </w:rPr>
                              <w:t xml:space="preserve"> It should be noted that the federal process establishes that the timeframes largely apply to business days. The state process uses calendar days. </w:t>
                            </w:r>
                          </w:p>
                          <w:p w14:paraId="2C1AC928" w14:textId="77777777" w:rsidR="004F2287" w:rsidRDefault="004F2287" w:rsidP="004F2287"/>
                          <w:p w14:paraId="1AA3CB51" w14:textId="77777777" w:rsidR="004F2287" w:rsidRDefault="004F2287" w:rsidP="004F2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3CFD0" id="_x0000_t202" coordsize="21600,21600" o:spt="202" path="m,l,21600r21600,l21600,xe">
                <v:stroke joinstyle="miter"/>
                <v:path gradientshapeok="t" o:connecttype="rect"/>
              </v:shapetype>
              <v:shape id="Text Box 1" o:spid="_x0000_s1026" type="#_x0000_t202" style="position:absolute;margin-left:1pt;margin-top:3.45pt;width:64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" fillcolor="white [3201]" stroked="f" strokeweight=".5pt">
                <v:textbox>
                  <w:txbxContent>
                    <w:p w14:paraId="517FBA4C" w14:textId="77777777" w:rsidR="004F2287" w:rsidRPr="00493DAF" w:rsidRDefault="004F2287" w:rsidP="004F2287">
                      <w:pPr>
                        <w:rPr>
                          <w:rFonts w:ascii="Arial" w:hAnsi="Arial" w:cs="Arial"/>
                          <w:sz w:val="22"/>
                        </w:rPr>
                      </w:pPr>
                      <w:r w:rsidRPr="00493DAF">
                        <w:rPr>
                          <w:rFonts w:ascii="Arial" w:hAnsi="Arial" w:cs="Arial"/>
                          <w:sz w:val="22"/>
                        </w:rPr>
                        <w:t>Below is a chart of the different arbitration deadlines for the various processes</w:t>
                      </w:r>
                      <w:r>
                        <w:rPr>
                          <w:rFonts w:ascii="Arial" w:hAnsi="Arial" w:cs="Arial"/>
                          <w:sz w:val="22"/>
                        </w:rPr>
                        <w:t>.</w:t>
                      </w:r>
                      <w:r w:rsidRPr="00493DAF">
                        <w:rPr>
                          <w:rFonts w:ascii="Arial" w:hAnsi="Arial" w:cs="Arial"/>
                          <w:sz w:val="22"/>
                        </w:rPr>
                        <w:t xml:space="preserve"> It should be noted that the federal process establishes that the timeframes largely apply to business days. The state process uses calendar days. </w:t>
                      </w:r>
                    </w:p>
                    <w:p w14:paraId="2C1AC928" w14:textId="77777777" w:rsidR="004F2287" w:rsidRDefault="004F2287" w:rsidP="004F2287"/>
                    <w:p w14:paraId="1AA3CB51" w14:textId="77777777" w:rsidR="004F2287" w:rsidRDefault="004F2287" w:rsidP="004F2287"/>
                  </w:txbxContent>
                </v:textbox>
              </v:shape>
            </w:pict>
          </mc:Fallback>
        </mc:AlternateContent>
      </w:r>
    </w:p>
    <w:tbl>
      <w:tblPr>
        <w:tblStyle w:val="TableGrid"/>
        <w:tblpPr w:leftFromText="180" w:rightFromText="180" w:vertAnchor="page" w:horzAnchor="margin" w:tblpY="3541"/>
        <w:tblW w:w="12955" w:type="dxa"/>
        <w:tblLook w:val="04A0" w:firstRow="1" w:lastRow="0" w:firstColumn="1" w:lastColumn="0" w:noHBand="0" w:noVBand="1"/>
      </w:tblPr>
      <w:tblGrid>
        <w:gridCol w:w="3955"/>
        <w:gridCol w:w="4500"/>
        <w:gridCol w:w="4500"/>
      </w:tblGrid>
      <w:tr w:rsidR="00B43F6B" w:rsidRPr="00B43F6B" w14:paraId="436EDE86" w14:textId="77777777" w:rsidTr="00B43F6B">
        <w:trPr>
          <w:trHeight w:val="1070"/>
        </w:trPr>
        <w:tc>
          <w:tcPr>
            <w:tcW w:w="3955" w:type="dxa"/>
          </w:tcPr>
          <w:p w14:paraId="3C60B8CA" w14:textId="77777777" w:rsidR="00B43F6B" w:rsidRPr="00D62EA3" w:rsidRDefault="00B43F6B" w:rsidP="00B43F6B">
            <w:pPr>
              <w:spacing w:before="120" w:after="120"/>
              <w:ind w:right="144"/>
              <w:rPr>
                <w:rFonts w:ascii="Arial" w:hAnsi="Arial" w:cs="Arial"/>
                <w:b/>
                <w:bCs/>
                <w:sz w:val="21"/>
                <w:szCs w:val="21"/>
              </w:rPr>
            </w:pPr>
            <w:r w:rsidRPr="00AB2E59">
              <w:rPr>
                <w:rFonts w:ascii="Arial" w:hAnsi="Arial" w:cs="Arial"/>
                <w:b/>
                <w:bCs/>
                <w:color w:val="0070C0"/>
                <w:sz w:val="21"/>
                <w:szCs w:val="21"/>
              </w:rPr>
              <w:t>PROCESS DEADLINES</w:t>
            </w:r>
          </w:p>
        </w:tc>
        <w:tc>
          <w:tcPr>
            <w:tcW w:w="4500" w:type="dxa"/>
          </w:tcPr>
          <w:p w14:paraId="659DE982" w14:textId="77777777" w:rsidR="00B43F6B" w:rsidRPr="00AB2E59" w:rsidRDefault="00B43F6B" w:rsidP="00B43F6B">
            <w:pPr>
              <w:spacing w:before="120" w:after="120"/>
              <w:ind w:left="144" w:right="144"/>
              <w:jc w:val="center"/>
              <w:rPr>
                <w:rFonts w:ascii="Arial" w:hAnsi="Arial" w:cs="Arial"/>
                <w:b/>
                <w:bCs/>
                <w:color w:val="0070C0"/>
                <w:sz w:val="21"/>
                <w:szCs w:val="21"/>
              </w:rPr>
            </w:pPr>
            <w:r w:rsidRPr="00AB2E59">
              <w:rPr>
                <w:rFonts w:ascii="Arial" w:hAnsi="Arial" w:cs="Arial"/>
                <w:b/>
                <w:bCs/>
                <w:color w:val="0070C0"/>
                <w:sz w:val="21"/>
                <w:szCs w:val="21"/>
              </w:rPr>
              <w:t>STATE PROCESS</w:t>
            </w:r>
          </w:p>
          <w:p w14:paraId="76140F0B"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NJ Regulated Plans, State and School Employees Health Benefits Plans and Self-Funded Plans That Opt-In</w:t>
            </w:r>
          </w:p>
        </w:tc>
        <w:tc>
          <w:tcPr>
            <w:tcW w:w="4500" w:type="dxa"/>
          </w:tcPr>
          <w:p w14:paraId="7A920BA2" w14:textId="77777777" w:rsidR="00B43F6B" w:rsidRPr="00AB2E59" w:rsidRDefault="00B43F6B" w:rsidP="00B43F6B">
            <w:pPr>
              <w:spacing w:before="120" w:after="120"/>
              <w:ind w:left="144" w:right="144" w:hanging="14"/>
              <w:jc w:val="center"/>
              <w:rPr>
                <w:rFonts w:ascii="Arial" w:hAnsi="Arial" w:cs="Arial"/>
                <w:b/>
                <w:bCs/>
                <w:color w:val="0070C0"/>
                <w:sz w:val="21"/>
                <w:szCs w:val="21"/>
              </w:rPr>
            </w:pPr>
            <w:r w:rsidRPr="00AB2E59">
              <w:rPr>
                <w:rFonts w:ascii="Arial" w:hAnsi="Arial" w:cs="Arial"/>
                <w:b/>
                <w:bCs/>
                <w:color w:val="0070C0"/>
                <w:sz w:val="21"/>
                <w:szCs w:val="21"/>
              </w:rPr>
              <w:t>FEDERAL PROCESS</w:t>
            </w:r>
          </w:p>
          <w:p w14:paraId="4FD542C2" w14:textId="77777777" w:rsidR="00B43F6B" w:rsidRPr="00B43F6B" w:rsidRDefault="00B43F6B" w:rsidP="00B43F6B">
            <w:pPr>
              <w:spacing w:before="120" w:after="120"/>
              <w:ind w:left="144" w:right="144"/>
              <w:jc w:val="center"/>
              <w:rPr>
                <w:rFonts w:ascii="Arial" w:hAnsi="Arial" w:cs="Arial"/>
                <w:sz w:val="21"/>
                <w:szCs w:val="21"/>
              </w:rPr>
            </w:pPr>
            <w:r w:rsidRPr="00B43F6B">
              <w:rPr>
                <w:rFonts w:ascii="Arial" w:hAnsi="Arial" w:cs="Arial"/>
                <w:sz w:val="21"/>
                <w:szCs w:val="21"/>
              </w:rPr>
              <w:t>Self-Funded Plans</w:t>
            </w:r>
          </w:p>
        </w:tc>
      </w:tr>
      <w:tr w:rsidR="00B43F6B" w:rsidRPr="00B43F6B" w14:paraId="25D16F74" w14:textId="77777777" w:rsidTr="00B43F6B">
        <w:tc>
          <w:tcPr>
            <w:tcW w:w="3955" w:type="dxa"/>
          </w:tcPr>
          <w:p w14:paraId="0F5B908D"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Negotiation Period</w:t>
            </w:r>
          </w:p>
        </w:tc>
        <w:tc>
          <w:tcPr>
            <w:tcW w:w="4500" w:type="dxa"/>
          </w:tcPr>
          <w:p w14:paraId="46C52AD8"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 xml:space="preserve">30 days from receipt of carrier’s notice the billed amount is excessive. </w:t>
            </w:r>
          </w:p>
        </w:tc>
        <w:tc>
          <w:tcPr>
            <w:tcW w:w="4500" w:type="dxa"/>
          </w:tcPr>
          <w:p w14:paraId="15096E19"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 xml:space="preserve">30 business days from receipt of initial payment or notice of denial. </w:t>
            </w:r>
          </w:p>
        </w:tc>
      </w:tr>
      <w:tr w:rsidR="00B43F6B" w:rsidRPr="00B43F6B" w14:paraId="648C7A43" w14:textId="77777777" w:rsidTr="00B43F6B">
        <w:tc>
          <w:tcPr>
            <w:tcW w:w="3955" w:type="dxa"/>
          </w:tcPr>
          <w:p w14:paraId="6EAD7BB8"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Final Submissions Due</w:t>
            </w:r>
          </w:p>
        </w:tc>
        <w:tc>
          <w:tcPr>
            <w:tcW w:w="4500" w:type="dxa"/>
          </w:tcPr>
          <w:p w14:paraId="10704618"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 xml:space="preserve">7 days following the end of the negotiation period the carrier makes its final payment.  This is the amount that is taken into arbitrations. </w:t>
            </w:r>
          </w:p>
        </w:tc>
        <w:tc>
          <w:tcPr>
            <w:tcW w:w="4500" w:type="dxa"/>
          </w:tcPr>
          <w:p w14:paraId="3E3DD11F"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 xml:space="preserve">10 business days after the date the </w:t>
            </w:r>
            <w:proofErr w:type="spellStart"/>
            <w:r w:rsidRPr="00B43F6B">
              <w:rPr>
                <w:rFonts w:ascii="Arial" w:hAnsi="Arial" w:cs="Arial"/>
                <w:sz w:val="21"/>
                <w:szCs w:val="21"/>
              </w:rPr>
              <w:t>IDREis</w:t>
            </w:r>
            <w:proofErr w:type="spellEnd"/>
            <w:r w:rsidRPr="00B43F6B">
              <w:rPr>
                <w:rFonts w:ascii="Arial" w:hAnsi="Arial" w:cs="Arial"/>
                <w:sz w:val="21"/>
                <w:szCs w:val="21"/>
              </w:rPr>
              <w:t xml:space="preserve"> selected (see selection deadlines below)</w:t>
            </w:r>
          </w:p>
        </w:tc>
      </w:tr>
      <w:tr w:rsidR="00B43F6B" w:rsidRPr="00B43F6B" w14:paraId="1B7BC669" w14:textId="77777777" w:rsidTr="00B43F6B">
        <w:tc>
          <w:tcPr>
            <w:tcW w:w="3955" w:type="dxa"/>
          </w:tcPr>
          <w:p w14:paraId="7C3B3AAC"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Arbitration Initiated</w:t>
            </w:r>
          </w:p>
        </w:tc>
        <w:tc>
          <w:tcPr>
            <w:tcW w:w="4500" w:type="dxa"/>
          </w:tcPr>
          <w:p w14:paraId="0746CCA1"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30 days from the carrier’s final payment file with DOBI and notify carrier of initiation.</w:t>
            </w:r>
          </w:p>
        </w:tc>
        <w:tc>
          <w:tcPr>
            <w:tcW w:w="4500" w:type="dxa"/>
          </w:tcPr>
          <w:p w14:paraId="4224DE95"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4 business days starting on the business day after the negotiation period ends</w:t>
            </w:r>
          </w:p>
        </w:tc>
      </w:tr>
      <w:tr w:rsidR="00B43F6B" w:rsidRPr="00B43F6B" w14:paraId="6DFCDE60" w14:textId="77777777" w:rsidTr="00B43F6B">
        <w:tc>
          <w:tcPr>
            <w:tcW w:w="3955" w:type="dxa"/>
          </w:tcPr>
          <w:p w14:paraId="76775A2C"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IDRE Selection</w:t>
            </w:r>
          </w:p>
        </w:tc>
        <w:tc>
          <w:tcPr>
            <w:tcW w:w="4500" w:type="dxa"/>
          </w:tcPr>
          <w:p w14:paraId="5BCB3462"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N/A</w:t>
            </w:r>
          </w:p>
        </w:tc>
        <w:tc>
          <w:tcPr>
            <w:tcW w:w="4500" w:type="dxa"/>
          </w:tcPr>
          <w:p w14:paraId="1DA56ABF"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 xml:space="preserve">3 business days from the initiation date to mutually agree on a certified IDRE </w:t>
            </w:r>
          </w:p>
        </w:tc>
      </w:tr>
      <w:tr w:rsidR="00B43F6B" w:rsidRPr="00B43F6B" w14:paraId="1F9443E1" w14:textId="77777777" w:rsidTr="00B43F6B">
        <w:tc>
          <w:tcPr>
            <w:tcW w:w="3955" w:type="dxa"/>
          </w:tcPr>
          <w:p w14:paraId="18EC0389"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Department Select IDR Entity</w:t>
            </w:r>
          </w:p>
        </w:tc>
        <w:tc>
          <w:tcPr>
            <w:tcW w:w="4500" w:type="dxa"/>
          </w:tcPr>
          <w:p w14:paraId="31505F95"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N/A</w:t>
            </w:r>
          </w:p>
        </w:tc>
        <w:tc>
          <w:tcPr>
            <w:tcW w:w="4500" w:type="dxa"/>
          </w:tcPr>
          <w:p w14:paraId="736FB589"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 xml:space="preserve">6 business days triggered by the initiation date. </w:t>
            </w:r>
          </w:p>
        </w:tc>
      </w:tr>
      <w:tr w:rsidR="00B43F6B" w:rsidRPr="00B43F6B" w14:paraId="45F32C18" w14:textId="77777777" w:rsidTr="00B43F6B">
        <w:tc>
          <w:tcPr>
            <w:tcW w:w="3955" w:type="dxa"/>
          </w:tcPr>
          <w:p w14:paraId="15FCD300"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Arbitration Decision Due</w:t>
            </w:r>
          </w:p>
        </w:tc>
        <w:tc>
          <w:tcPr>
            <w:tcW w:w="4500" w:type="dxa"/>
          </w:tcPr>
          <w:p w14:paraId="1F376CB0"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30 days from the date filed</w:t>
            </w:r>
          </w:p>
        </w:tc>
        <w:tc>
          <w:tcPr>
            <w:tcW w:w="4500" w:type="dxa"/>
          </w:tcPr>
          <w:p w14:paraId="2C514C91"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30 business days from the date of IDRE selection</w:t>
            </w:r>
          </w:p>
        </w:tc>
      </w:tr>
      <w:tr w:rsidR="00B43F6B" w:rsidRPr="00B43F6B" w14:paraId="3FD263B1" w14:textId="77777777" w:rsidTr="00B43F6B">
        <w:tc>
          <w:tcPr>
            <w:tcW w:w="3955" w:type="dxa"/>
          </w:tcPr>
          <w:p w14:paraId="1CEF7142"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Additional Payment Due (if applicable)</w:t>
            </w:r>
          </w:p>
        </w:tc>
        <w:tc>
          <w:tcPr>
            <w:tcW w:w="4500" w:type="dxa"/>
          </w:tcPr>
          <w:p w14:paraId="28D8B0F8"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 xml:space="preserve">20 days from the date of arbitration decision or interest starts to accrue. </w:t>
            </w:r>
          </w:p>
        </w:tc>
        <w:tc>
          <w:tcPr>
            <w:tcW w:w="4500" w:type="dxa"/>
          </w:tcPr>
          <w:p w14:paraId="1C09D238" w14:textId="77777777" w:rsidR="00B43F6B" w:rsidRPr="00B43F6B" w:rsidRDefault="00B43F6B" w:rsidP="00B43F6B">
            <w:pPr>
              <w:spacing w:before="120" w:after="120"/>
              <w:ind w:left="144" w:right="144"/>
              <w:rPr>
                <w:rFonts w:ascii="Arial" w:hAnsi="Arial" w:cs="Arial"/>
                <w:sz w:val="21"/>
                <w:szCs w:val="21"/>
              </w:rPr>
            </w:pPr>
            <w:r w:rsidRPr="00B43F6B">
              <w:rPr>
                <w:rFonts w:ascii="Arial" w:hAnsi="Arial" w:cs="Arial"/>
                <w:sz w:val="21"/>
                <w:szCs w:val="21"/>
              </w:rPr>
              <w:t>30 business days after arbitration decision</w:t>
            </w:r>
          </w:p>
        </w:tc>
      </w:tr>
    </w:tbl>
    <w:p w14:paraId="628686A7" w14:textId="607C0DC1" w:rsidR="00816DC8" w:rsidRDefault="00816DC8" w:rsidP="00816DC8">
      <w:pPr>
        <w:rPr>
          <w:rFonts w:ascii="Arial" w:eastAsia="Times New Roman" w:hAnsi="Arial" w:cs="Arial"/>
          <w:color w:val="000000"/>
          <w:sz w:val="22"/>
        </w:rPr>
      </w:pPr>
    </w:p>
    <w:p w14:paraId="1EBBDFD0" w14:textId="479A5AEC" w:rsidR="00493DAF" w:rsidRDefault="00493DAF" w:rsidP="00816DC8">
      <w:pPr>
        <w:rPr>
          <w:rFonts w:ascii="Arial" w:eastAsia="Times New Roman" w:hAnsi="Arial" w:cs="Arial"/>
          <w:color w:val="000000"/>
          <w:sz w:val="22"/>
        </w:rPr>
      </w:pPr>
    </w:p>
    <w:p w14:paraId="6B178143" w14:textId="3C9A1A65" w:rsidR="00493DAF" w:rsidRDefault="00493DAF">
      <w:pPr>
        <w:rPr>
          <w:rStyle w:val="CommentReference"/>
          <w:rFonts w:ascii="Arial" w:hAnsi="Arial" w:cs="Arial"/>
          <w:sz w:val="22"/>
          <w:szCs w:val="22"/>
        </w:rPr>
      </w:pPr>
    </w:p>
    <w:p w14:paraId="79F770FA" w14:textId="66D3EC27" w:rsidR="00D827D4" w:rsidRPr="00493DAF" w:rsidRDefault="002F04BE" w:rsidP="00493DAF">
      <w:pPr>
        <w:pStyle w:val="CommentText"/>
        <w:jc w:val="both"/>
        <w:rPr>
          <w:rStyle w:val="CommentReference"/>
          <w:rFonts w:ascii="Arial" w:hAnsi="Arial" w:cs="Arial"/>
          <w:sz w:val="22"/>
          <w:szCs w:val="22"/>
        </w:rPr>
      </w:pPr>
      <w:r w:rsidRPr="00493DAF">
        <w:rPr>
          <w:rStyle w:val="CommentReference"/>
          <w:rFonts w:ascii="Arial" w:hAnsi="Arial" w:cs="Arial"/>
          <w:sz w:val="22"/>
          <w:szCs w:val="22"/>
        </w:rPr>
        <w:t xml:space="preserve">It is notable that </w:t>
      </w:r>
      <w:r w:rsidR="00044B27" w:rsidRPr="00493DAF">
        <w:rPr>
          <w:rStyle w:val="CommentReference"/>
          <w:rFonts w:ascii="Arial" w:hAnsi="Arial" w:cs="Arial"/>
          <w:sz w:val="22"/>
          <w:szCs w:val="22"/>
        </w:rPr>
        <w:t xml:space="preserve">under federal regulations </w:t>
      </w:r>
      <w:r w:rsidR="0026277E" w:rsidRPr="00493DAF">
        <w:rPr>
          <w:rStyle w:val="CommentReference"/>
          <w:rFonts w:ascii="Arial" w:hAnsi="Arial" w:cs="Arial"/>
          <w:sz w:val="22"/>
          <w:szCs w:val="22"/>
        </w:rPr>
        <w:t>there is a</w:t>
      </w:r>
      <w:r w:rsidR="00D827D4" w:rsidRPr="00493DAF">
        <w:rPr>
          <w:rStyle w:val="CommentReference"/>
          <w:rFonts w:ascii="Arial" w:hAnsi="Arial" w:cs="Arial"/>
          <w:sz w:val="22"/>
          <w:szCs w:val="22"/>
        </w:rPr>
        <w:t xml:space="preserve"> “90-day lockout period</w:t>
      </w:r>
      <w:r w:rsidR="0026277E" w:rsidRPr="00493DAF">
        <w:rPr>
          <w:rStyle w:val="CommentReference"/>
          <w:rFonts w:ascii="Arial" w:hAnsi="Arial" w:cs="Arial"/>
          <w:sz w:val="22"/>
          <w:szCs w:val="22"/>
        </w:rPr>
        <w:t>.”</w:t>
      </w:r>
      <w:r w:rsidR="00D827D4" w:rsidRPr="00493DAF">
        <w:rPr>
          <w:rStyle w:val="CommentReference"/>
          <w:rFonts w:ascii="Arial" w:hAnsi="Arial" w:cs="Arial"/>
          <w:sz w:val="22"/>
          <w:szCs w:val="22"/>
        </w:rPr>
        <w:t xml:space="preserve"> </w:t>
      </w:r>
      <w:r w:rsidR="0026277E" w:rsidRPr="00493DAF">
        <w:rPr>
          <w:rStyle w:val="CommentReference"/>
          <w:rFonts w:ascii="Arial" w:hAnsi="Arial" w:cs="Arial"/>
          <w:sz w:val="22"/>
          <w:szCs w:val="22"/>
        </w:rPr>
        <w:t xml:space="preserve"> </w:t>
      </w:r>
      <w:r w:rsidR="00386856" w:rsidRPr="00493DAF">
        <w:rPr>
          <w:rStyle w:val="CommentReference"/>
          <w:rFonts w:ascii="Arial" w:hAnsi="Arial" w:cs="Arial"/>
          <w:sz w:val="22"/>
          <w:szCs w:val="22"/>
        </w:rPr>
        <w:t xml:space="preserve">Any party </w:t>
      </w:r>
      <w:r w:rsidR="00D827D4" w:rsidRPr="00493DAF">
        <w:rPr>
          <w:rStyle w:val="CommentReference"/>
          <w:rFonts w:ascii="Arial" w:hAnsi="Arial" w:cs="Arial"/>
          <w:sz w:val="22"/>
          <w:szCs w:val="22"/>
        </w:rPr>
        <w:t xml:space="preserve">that initiates the arbitration process is “locked out” from taking the same party to arbitration for the same item or service for 90 days following a decision. </w:t>
      </w:r>
      <w:r w:rsidR="00A5273E" w:rsidRPr="00493DAF">
        <w:rPr>
          <w:rStyle w:val="CommentReference"/>
          <w:rFonts w:ascii="Arial" w:hAnsi="Arial" w:cs="Arial"/>
          <w:sz w:val="22"/>
          <w:szCs w:val="22"/>
        </w:rPr>
        <w:t xml:space="preserve">This is one instance where the timeframe is based on </w:t>
      </w:r>
      <w:r w:rsidR="00D827D4" w:rsidRPr="00493DAF">
        <w:rPr>
          <w:rStyle w:val="CommentReference"/>
          <w:rFonts w:ascii="Arial" w:hAnsi="Arial" w:cs="Arial"/>
          <w:sz w:val="22"/>
          <w:szCs w:val="22"/>
        </w:rPr>
        <w:t xml:space="preserve">calendar days.  </w:t>
      </w:r>
    </w:p>
    <w:p w14:paraId="2D0DF14F" w14:textId="7ADDF2FA" w:rsidR="00816DC8" w:rsidRDefault="001C1229" w:rsidP="00493DAF">
      <w:pPr>
        <w:jc w:val="both"/>
        <w:rPr>
          <w:rFonts w:ascii="Arial" w:hAnsi="Arial" w:cs="Arial"/>
          <w:sz w:val="22"/>
        </w:rPr>
      </w:pPr>
      <w:r w:rsidRPr="00493DAF">
        <w:rPr>
          <w:rFonts w:ascii="Arial" w:hAnsi="Arial" w:cs="Arial"/>
          <w:sz w:val="22"/>
        </w:rPr>
        <w:t xml:space="preserve">Similarly, </w:t>
      </w:r>
      <w:r w:rsidR="00826B8C" w:rsidRPr="00493DAF">
        <w:rPr>
          <w:rFonts w:ascii="Arial" w:hAnsi="Arial" w:cs="Arial"/>
          <w:sz w:val="22"/>
        </w:rPr>
        <w:t>t</w:t>
      </w:r>
      <w:r w:rsidR="00271EE6" w:rsidRPr="00493DAF">
        <w:rPr>
          <w:rFonts w:ascii="Arial" w:hAnsi="Arial" w:cs="Arial"/>
          <w:sz w:val="22"/>
        </w:rPr>
        <w:t xml:space="preserve">he federal </w:t>
      </w:r>
      <w:r w:rsidR="000D4F71" w:rsidRPr="00493DAF">
        <w:rPr>
          <w:rFonts w:ascii="Arial" w:hAnsi="Arial" w:cs="Arial"/>
          <w:sz w:val="22"/>
        </w:rPr>
        <w:t>arbitration process for</w:t>
      </w:r>
      <w:r w:rsidR="00271EE6" w:rsidRPr="00493DAF">
        <w:rPr>
          <w:rFonts w:ascii="Arial" w:hAnsi="Arial" w:cs="Arial"/>
          <w:sz w:val="22"/>
        </w:rPr>
        <w:t xml:space="preserve"> </w:t>
      </w:r>
      <w:r w:rsidR="0090548A" w:rsidRPr="00493DAF">
        <w:rPr>
          <w:rFonts w:ascii="Arial" w:hAnsi="Arial" w:cs="Arial"/>
          <w:sz w:val="22"/>
        </w:rPr>
        <w:t>pa</w:t>
      </w:r>
      <w:r w:rsidR="006B436C" w:rsidRPr="00493DAF">
        <w:rPr>
          <w:rFonts w:ascii="Arial" w:hAnsi="Arial" w:cs="Arial"/>
          <w:sz w:val="22"/>
        </w:rPr>
        <w:t xml:space="preserve">tients to use in instances </w:t>
      </w:r>
      <w:r w:rsidR="00D14BE7" w:rsidRPr="00493DAF">
        <w:rPr>
          <w:rFonts w:ascii="Arial" w:hAnsi="Arial" w:cs="Arial"/>
          <w:sz w:val="22"/>
        </w:rPr>
        <w:t>when a good faith estimate is substantially different from the billed amount</w:t>
      </w:r>
      <w:r w:rsidR="00B04DE1" w:rsidRPr="00493DAF">
        <w:rPr>
          <w:rFonts w:ascii="Arial" w:hAnsi="Arial" w:cs="Arial"/>
          <w:sz w:val="22"/>
        </w:rPr>
        <w:t xml:space="preserve"> uses calendar days</w:t>
      </w:r>
      <w:r w:rsidR="00D14BE7" w:rsidRPr="00493DAF">
        <w:rPr>
          <w:rFonts w:ascii="Arial" w:hAnsi="Arial" w:cs="Arial"/>
          <w:sz w:val="22"/>
        </w:rPr>
        <w:t xml:space="preserve">.  </w:t>
      </w:r>
      <w:r w:rsidR="00B04DE1" w:rsidRPr="00493DAF">
        <w:rPr>
          <w:rFonts w:ascii="Arial" w:hAnsi="Arial" w:cs="Arial"/>
          <w:sz w:val="22"/>
        </w:rPr>
        <w:t>P</w:t>
      </w:r>
      <w:r w:rsidR="00F348B9" w:rsidRPr="00493DAF">
        <w:rPr>
          <w:rFonts w:ascii="Arial" w:hAnsi="Arial" w:cs="Arial"/>
          <w:sz w:val="22"/>
        </w:rPr>
        <w:t xml:space="preserve">roviders should be aware that </w:t>
      </w:r>
      <w:r w:rsidR="004633F9" w:rsidRPr="00493DAF">
        <w:rPr>
          <w:rFonts w:ascii="Arial" w:hAnsi="Arial" w:cs="Arial"/>
          <w:sz w:val="22"/>
        </w:rPr>
        <w:t xml:space="preserve">uninsured and self-pay patients </w:t>
      </w:r>
      <w:r w:rsidR="000D2970" w:rsidRPr="00493DAF">
        <w:rPr>
          <w:rFonts w:ascii="Arial" w:hAnsi="Arial" w:cs="Arial"/>
          <w:sz w:val="22"/>
        </w:rPr>
        <w:t xml:space="preserve">have 120 </w:t>
      </w:r>
      <w:r w:rsidR="00F736D6" w:rsidRPr="00493DAF">
        <w:rPr>
          <w:rFonts w:ascii="Arial" w:hAnsi="Arial" w:cs="Arial"/>
          <w:sz w:val="22"/>
        </w:rPr>
        <w:t xml:space="preserve">calendar </w:t>
      </w:r>
      <w:r w:rsidR="000D2970" w:rsidRPr="00493DAF">
        <w:rPr>
          <w:rFonts w:ascii="Arial" w:hAnsi="Arial" w:cs="Arial"/>
          <w:sz w:val="22"/>
        </w:rPr>
        <w:t xml:space="preserve">days </w:t>
      </w:r>
      <w:r w:rsidR="00F736D6" w:rsidRPr="00493DAF">
        <w:rPr>
          <w:rFonts w:ascii="Arial" w:hAnsi="Arial" w:cs="Arial"/>
          <w:sz w:val="22"/>
        </w:rPr>
        <w:t>from the date the patient receives</w:t>
      </w:r>
      <w:r w:rsidR="00FF0BF1" w:rsidRPr="00493DAF">
        <w:rPr>
          <w:rFonts w:ascii="Arial" w:hAnsi="Arial" w:cs="Arial"/>
          <w:sz w:val="22"/>
        </w:rPr>
        <w:t xml:space="preserve"> a</w:t>
      </w:r>
      <w:r w:rsidR="00F736D6" w:rsidRPr="00493DAF">
        <w:rPr>
          <w:rFonts w:ascii="Arial" w:hAnsi="Arial" w:cs="Arial"/>
          <w:sz w:val="22"/>
        </w:rPr>
        <w:t xml:space="preserve"> bill, </w:t>
      </w:r>
      <w:r w:rsidR="000D2970" w:rsidRPr="00493DAF">
        <w:rPr>
          <w:rFonts w:ascii="Arial" w:hAnsi="Arial" w:cs="Arial"/>
          <w:sz w:val="22"/>
        </w:rPr>
        <w:t>to access an arbitration process</w:t>
      </w:r>
      <w:r w:rsidR="00AE7E98" w:rsidRPr="00493DAF">
        <w:rPr>
          <w:rFonts w:ascii="Arial" w:hAnsi="Arial" w:cs="Arial"/>
          <w:sz w:val="22"/>
        </w:rPr>
        <w:t xml:space="preserve"> if the bill is </w:t>
      </w:r>
      <w:r w:rsidR="006719A9" w:rsidRPr="00493DAF">
        <w:rPr>
          <w:rFonts w:ascii="Arial" w:hAnsi="Arial" w:cs="Arial"/>
          <w:sz w:val="22"/>
        </w:rPr>
        <w:t>“</w:t>
      </w:r>
      <w:r w:rsidR="000D7F2C" w:rsidRPr="00493DAF">
        <w:rPr>
          <w:rFonts w:ascii="Arial" w:hAnsi="Arial" w:cs="Arial"/>
          <w:sz w:val="22"/>
        </w:rPr>
        <w:t xml:space="preserve">substantially </w:t>
      </w:r>
      <w:r w:rsidR="00F736D6" w:rsidRPr="00493DAF">
        <w:rPr>
          <w:rFonts w:ascii="Arial" w:hAnsi="Arial" w:cs="Arial"/>
          <w:sz w:val="22"/>
        </w:rPr>
        <w:t>in excess</w:t>
      </w:r>
      <w:r w:rsidR="00AE7E98" w:rsidRPr="00493DAF">
        <w:rPr>
          <w:rFonts w:ascii="Arial" w:hAnsi="Arial" w:cs="Arial"/>
          <w:sz w:val="22"/>
        </w:rPr>
        <w:t>,</w:t>
      </w:r>
      <w:r w:rsidR="006719A9" w:rsidRPr="00493DAF">
        <w:rPr>
          <w:rFonts w:ascii="Arial" w:hAnsi="Arial" w:cs="Arial"/>
          <w:sz w:val="22"/>
        </w:rPr>
        <w:t>”</w:t>
      </w:r>
      <w:r w:rsidR="00234AFE" w:rsidRPr="00493DAF">
        <w:rPr>
          <w:rFonts w:ascii="Arial" w:hAnsi="Arial" w:cs="Arial"/>
          <w:sz w:val="22"/>
        </w:rPr>
        <w:t xml:space="preserve"> </w:t>
      </w:r>
      <w:r w:rsidR="00AE7E98" w:rsidRPr="00493DAF">
        <w:rPr>
          <w:rFonts w:ascii="Arial" w:hAnsi="Arial" w:cs="Arial"/>
          <w:sz w:val="22"/>
        </w:rPr>
        <w:t xml:space="preserve">defined </w:t>
      </w:r>
      <w:r w:rsidR="00234AFE" w:rsidRPr="00493DAF">
        <w:rPr>
          <w:rFonts w:ascii="Arial" w:hAnsi="Arial" w:cs="Arial"/>
          <w:sz w:val="22"/>
        </w:rPr>
        <w:t>as greater than $400</w:t>
      </w:r>
      <w:r w:rsidR="00AE7E98" w:rsidRPr="00493DAF">
        <w:rPr>
          <w:rFonts w:ascii="Arial" w:hAnsi="Arial" w:cs="Arial"/>
          <w:sz w:val="22"/>
        </w:rPr>
        <w:t xml:space="preserve">, </w:t>
      </w:r>
      <w:r w:rsidR="00523182" w:rsidRPr="00493DAF">
        <w:rPr>
          <w:rFonts w:ascii="Arial" w:hAnsi="Arial" w:cs="Arial"/>
          <w:sz w:val="22"/>
        </w:rPr>
        <w:t>from the good faith estimate.</w:t>
      </w:r>
    </w:p>
    <w:p w14:paraId="2FBF49A5" w14:textId="58791D46" w:rsidR="0071576D" w:rsidRPr="0071576D" w:rsidRDefault="0071576D" w:rsidP="0071576D">
      <w:pPr>
        <w:rPr>
          <w:rFonts w:ascii="Arial" w:hAnsi="Arial" w:cs="Arial"/>
          <w:sz w:val="22"/>
        </w:rPr>
      </w:pPr>
    </w:p>
    <w:p w14:paraId="3964FA92" w14:textId="71ED7B58" w:rsidR="0071576D" w:rsidRPr="0071576D" w:rsidRDefault="0071576D" w:rsidP="0071576D">
      <w:pPr>
        <w:rPr>
          <w:rFonts w:ascii="Arial" w:hAnsi="Arial" w:cs="Arial"/>
          <w:sz w:val="22"/>
        </w:rPr>
      </w:pPr>
    </w:p>
    <w:p w14:paraId="3EA1C3AC" w14:textId="5EDC7C1E" w:rsidR="0071576D" w:rsidRPr="0071576D" w:rsidRDefault="0071576D" w:rsidP="0071576D">
      <w:pPr>
        <w:rPr>
          <w:rFonts w:ascii="Arial" w:hAnsi="Arial" w:cs="Arial"/>
          <w:sz w:val="22"/>
        </w:rPr>
      </w:pPr>
    </w:p>
    <w:p w14:paraId="4B92748C" w14:textId="4C8DFD0B" w:rsidR="0071576D" w:rsidRPr="0071576D" w:rsidRDefault="0071576D" w:rsidP="0071576D">
      <w:pPr>
        <w:rPr>
          <w:rFonts w:ascii="Arial" w:hAnsi="Arial" w:cs="Arial"/>
          <w:sz w:val="22"/>
        </w:rPr>
      </w:pPr>
    </w:p>
    <w:p w14:paraId="7E317532" w14:textId="4A69F613" w:rsidR="0071576D" w:rsidRPr="0071576D" w:rsidRDefault="0071576D" w:rsidP="0071576D">
      <w:pPr>
        <w:rPr>
          <w:rFonts w:ascii="Arial" w:hAnsi="Arial" w:cs="Arial"/>
          <w:sz w:val="22"/>
        </w:rPr>
      </w:pPr>
    </w:p>
    <w:p w14:paraId="5E121AEE" w14:textId="77A0091B" w:rsidR="0071576D" w:rsidRPr="0071576D" w:rsidRDefault="0071576D" w:rsidP="0071576D">
      <w:pPr>
        <w:rPr>
          <w:rFonts w:ascii="Arial" w:hAnsi="Arial" w:cs="Arial"/>
          <w:sz w:val="22"/>
        </w:rPr>
      </w:pPr>
    </w:p>
    <w:p w14:paraId="518A392F" w14:textId="3EC09AF6" w:rsidR="0071576D" w:rsidRDefault="0071576D" w:rsidP="0071576D">
      <w:pPr>
        <w:rPr>
          <w:rFonts w:ascii="Arial" w:hAnsi="Arial" w:cs="Arial"/>
          <w:sz w:val="22"/>
        </w:rPr>
      </w:pPr>
    </w:p>
    <w:p w14:paraId="7E05B5DE" w14:textId="73447CD4" w:rsidR="0071576D" w:rsidRPr="0071576D" w:rsidRDefault="0071576D" w:rsidP="0071576D">
      <w:pPr>
        <w:tabs>
          <w:tab w:val="left" w:pos="10688"/>
        </w:tabs>
        <w:rPr>
          <w:rFonts w:ascii="Arial" w:hAnsi="Arial" w:cs="Arial"/>
          <w:sz w:val="22"/>
        </w:rPr>
      </w:pPr>
      <w:r>
        <w:rPr>
          <w:rFonts w:ascii="Arial" w:hAnsi="Arial" w:cs="Arial"/>
          <w:sz w:val="22"/>
        </w:rPr>
        <w:tab/>
      </w:r>
    </w:p>
    <w:sectPr w:rsidR="0071576D" w:rsidRPr="0071576D" w:rsidSect="0071576D">
      <w:headerReference w:type="default" r:id="rId8"/>
      <w:footerReference w:type="default" r:id="rId9"/>
      <w:pgSz w:w="15840" w:h="12240" w:orient="landscape"/>
      <w:pgMar w:top="1443" w:right="1440" w:bottom="1440" w:left="1440" w:header="369"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706D" w14:textId="77777777" w:rsidR="00734286" w:rsidRDefault="00734286" w:rsidP="003A5C59">
      <w:pPr>
        <w:spacing w:after="0" w:line="240" w:lineRule="auto"/>
      </w:pPr>
      <w:r>
        <w:separator/>
      </w:r>
    </w:p>
  </w:endnote>
  <w:endnote w:type="continuationSeparator" w:id="0">
    <w:p w14:paraId="3A00E7E9" w14:textId="77777777" w:rsidR="00734286" w:rsidRDefault="00734286" w:rsidP="003A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4ED6" w14:textId="45C33D6D" w:rsidR="003A5C59" w:rsidRPr="003A5C59" w:rsidRDefault="003A5C59" w:rsidP="003A5C59">
    <w:pPr>
      <w:pStyle w:val="Footer"/>
      <w:jc w:val="center"/>
      <w:rPr>
        <w:i/>
        <w:iCs/>
      </w:rPr>
    </w:pPr>
    <w:r>
      <w:rPr>
        <w:i/>
        <w:iCs/>
      </w:rPr>
      <w:t xml:space="preserve">Information Current </w:t>
    </w:r>
    <w:proofErr w:type="gramStart"/>
    <w:r>
      <w:rPr>
        <w:i/>
        <w:iCs/>
      </w:rPr>
      <w:t>As</w:t>
    </w:r>
    <w:proofErr w:type="gramEnd"/>
    <w:r>
      <w:rPr>
        <w:i/>
        <w:iCs/>
      </w:rPr>
      <w:t xml:space="preserve"> Of: </w:t>
    </w:r>
    <w:r w:rsidR="00493DAF">
      <w:rPr>
        <w:i/>
        <w:iCs/>
      </w:rPr>
      <w:t>12/21</w:t>
    </w:r>
  </w:p>
  <w:p w14:paraId="08291269" w14:textId="5FF5F73D" w:rsidR="003A5C59" w:rsidRDefault="0071576D">
    <w:pPr>
      <w:pStyle w:val="Footer"/>
    </w:pPr>
    <w:r>
      <w:tab/>
    </w:r>
    <w:r>
      <w:tab/>
    </w:r>
    <w:r>
      <w:tab/>
    </w:r>
    <w:r>
      <w:tab/>
    </w:r>
    <w:r>
      <w:tab/>
    </w:r>
    <w:r>
      <w:rPr>
        <w:noProof/>
      </w:rPr>
      <w:drawing>
        <wp:inline distT="0" distB="0" distL="0" distR="0" wp14:anchorId="7B55DBCF" wp14:editId="322FEE13">
          <wp:extent cx="843280" cy="4694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71427" cy="48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3EE2" w14:textId="77777777" w:rsidR="00734286" w:rsidRDefault="00734286" w:rsidP="003A5C59">
      <w:pPr>
        <w:spacing w:after="0" w:line="240" w:lineRule="auto"/>
      </w:pPr>
      <w:r>
        <w:separator/>
      </w:r>
    </w:p>
  </w:footnote>
  <w:footnote w:type="continuationSeparator" w:id="0">
    <w:p w14:paraId="6DAB7258" w14:textId="77777777" w:rsidR="00734286" w:rsidRDefault="00734286" w:rsidP="003A5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96C8" w14:textId="4AE06B81" w:rsidR="00493DAF" w:rsidRDefault="0071576D" w:rsidP="0071576D">
    <w:pPr>
      <w:pStyle w:val="Header"/>
      <w:ind w:left="2070"/>
    </w:pPr>
    <w:r>
      <w:rPr>
        <w:noProof/>
      </w:rPr>
      <w:drawing>
        <wp:inline distT="0" distB="0" distL="0" distR="0" wp14:anchorId="1E890CBB" wp14:editId="734387FA">
          <wp:extent cx="5455920" cy="1421382"/>
          <wp:effectExtent l="0" t="0" r="5080" b="127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464024" cy="142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2DF9"/>
    <w:multiLevelType w:val="hybridMultilevel"/>
    <w:tmpl w:val="D5188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C8"/>
    <w:rsid w:val="0001223A"/>
    <w:rsid w:val="00030B7E"/>
    <w:rsid w:val="00044B27"/>
    <w:rsid w:val="0005466D"/>
    <w:rsid w:val="00060920"/>
    <w:rsid w:val="00085690"/>
    <w:rsid w:val="000D1507"/>
    <w:rsid w:val="000D2970"/>
    <w:rsid w:val="000D4F71"/>
    <w:rsid w:val="000D7F2C"/>
    <w:rsid w:val="000E06FD"/>
    <w:rsid w:val="001004AE"/>
    <w:rsid w:val="00110F82"/>
    <w:rsid w:val="00121562"/>
    <w:rsid w:val="00140549"/>
    <w:rsid w:val="0015095D"/>
    <w:rsid w:val="00161235"/>
    <w:rsid w:val="0017688F"/>
    <w:rsid w:val="0018641B"/>
    <w:rsid w:val="00196F80"/>
    <w:rsid w:val="001B3AFA"/>
    <w:rsid w:val="001B51AB"/>
    <w:rsid w:val="001C1229"/>
    <w:rsid w:val="001C1AA5"/>
    <w:rsid w:val="001C1B6D"/>
    <w:rsid w:val="001C5AC0"/>
    <w:rsid w:val="001C6D03"/>
    <w:rsid w:val="001D1706"/>
    <w:rsid w:val="001D4F2A"/>
    <w:rsid w:val="00222262"/>
    <w:rsid w:val="00230246"/>
    <w:rsid w:val="00234AFE"/>
    <w:rsid w:val="0026277E"/>
    <w:rsid w:val="00271AA9"/>
    <w:rsid w:val="00271EE6"/>
    <w:rsid w:val="002748CC"/>
    <w:rsid w:val="002A5791"/>
    <w:rsid w:val="002E3F5B"/>
    <w:rsid w:val="002E630C"/>
    <w:rsid w:val="002F04BE"/>
    <w:rsid w:val="00306B54"/>
    <w:rsid w:val="00307E19"/>
    <w:rsid w:val="00330A89"/>
    <w:rsid w:val="00337570"/>
    <w:rsid w:val="003379D2"/>
    <w:rsid w:val="00356276"/>
    <w:rsid w:val="00386856"/>
    <w:rsid w:val="003A5C59"/>
    <w:rsid w:val="003D2EB7"/>
    <w:rsid w:val="003F01C7"/>
    <w:rsid w:val="0040144F"/>
    <w:rsid w:val="00416D3B"/>
    <w:rsid w:val="00425113"/>
    <w:rsid w:val="004633F9"/>
    <w:rsid w:val="00480066"/>
    <w:rsid w:val="004834C9"/>
    <w:rsid w:val="00486414"/>
    <w:rsid w:val="00493DAF"/>
    <w:rsid w:val="004A07A0"/>
    <w:rsid w:val="004F2287"/>
    <w:rsid w:val="00523182"/>
    <w:rsid w:val="0058051A"/>
    <w:rsid w:val="005A3529"/>
    <w:rsid w:val="005C1989"/>
    <w:rsid w:val="005E1541"/>
    <w:rsid w:val="00612268"/>
    <w:rsid w:val="00620D4E"/>
    <w:rsid w:val="006719A9"/>
    <w:rsid w:val="00693AC6"/>
    <w:rsid w:val="00696DDA"/>
    <w:rsid w:val="006A2F7E"/>
    <w:rsid w:val="006B436C"/>
    <w:rsid w:val="006B6DC6"/>
    <w:rsid w:val="006C4741"/>
    <w:rsid w:val="006C79B3"/>
    <w:rsid w:val="006D37FC"/>
    <w:rsid w:val="0071576D"/>
    <w:rsid w:val="00734286"/>
    <w:rsid w:val="00737689"/>
    <w:rsid w:val="0074036D"/>
    <w:rsid w:val="007F4975"/>
    <w:rsid w:val="00816DC8"/>
    <w:rsid w:val="00826B8C"/>
    <w:rsid w:val="008310DC"/>
    <w:rsid w:val="0085789F"/>
    <w:rsid w:val="00861A34"/>
    <w:rsid w:val="008E36DD"/>
    <w:rsid w:val="009053C7"/>
    <w:rsid w:val="0090548A"/>
    <w:rsid w:val="0093652E"/>
    <w:rsid w:val="00954BC1"/>
    <w:rsid w:val="00985D5D"/>
    <w:rsid w:val="00990686"/>
    <w:rsid w:val="009B5753"/>
    <w:rsid w:val="009C1D91"/>
    <w:rsid w:val="009D07E8"/>
    <w:rsid w:val="009D4FE8"/>
    <w:rsid w:val="009E3DA0"/>
    <w:rsid w:val="00A012F6"/>
    <w:rsid w:val="00A27E2E"/>
    <w:rsid w:val="00A321EB"/>
    <w:rsid w:val="00A341B0"/>
    <w:rsid w:val="00A4250D"/>
    <w:rsid w:val="00A47C81"/>
    <w:rsid w:val="00A5273E"/>
    <w:rsid w:val="00A56F44"/>
    <w:rsid w:val="00A73F3F"/>
    <w:rsid w:val="00A9017F"/>
    <w:rsid w:val="00AA668B"/>
    <w:rsid w:val="00AB2BAA"/>
    <w:rsid w:val="00AB2E59"/>
    <w:rsid w:val="00AB3067"/>
    <w:rsid w:val="00AD668A"/>
    <w:rsid w:val="00AE7E98"/>
    <w:rsid w:val="00B04DE1"/>
    <w:rsid w:val="00B20972"/>
    <w:rsid w:val="00B231A3"/>
    <w:rsid w:val="00B43F6B"/>
    <w:rsid w:val="00B75C42"/>
    <w:rsid w:val="00BA1C73"/>
    <w:rsid w:val="00BA44EB"/>
    <w:rsid w:val="00BD1D74"/>
    <w:rsid w:val="00BF3CDB"/>
    <w:rsid w:val="00C0039D"/>
    <w:rsid w:val="00C02606"/>
    <w:rsid w:val="00C053A5"/>
    <w:rsid w:val="00C20A79"/>
    <w:rsid w:val="00C21AE7"/>
    <w:rsid w:val="00C30C5D"/>
    <w:rsid w:val="00C54589"/>
    <w:rsid w:val="00C56741"/>
    <w:rsid w:val="00C725CD"/>
    <w:rsid w:val="00C7648A"/>
    <w:rsid w:val="00CB41D1"/>
    <w:rsid w:val="00CD4F09"/>
    <w:rsid w:val="00CF30D5"/>
    <w:rsid w:val="00D14BE7"/>
    <w:rsid w:val="00D169E7"/>
    <w:rsid w:val="00D20E8C"/>
    <w:rsid w:val="00D310D1"/>
    <w:rsid w:val="00D40042"/>
    <w:rsid w:val="00D57839"/>
    <w:rsid w:val="00D62EA3"/>
    <w:rsid w:val="00D827D4"/>
    <w:rsid w:val="00D93142"/>
    <w:rsid w:val="00D95F0B"/>
    <w:rsid w:val="00DE02A7"/>
    <w:rsid w:val="00DF2F1D"/>
    <w:rsid w:val="00DF7338"/>
    <w:rsid w:val="00E068ED"/>
    <w:rsid w:val="00E06F71"/>
    <w:rsid w:val="00E1571C"/>
    <w:rsid w:val="00E21856"/>
    <w:rsid w:val="00E45CA9"/>
    <w:rsid w:val="00E87BE7"/>
    <w:rsid w:val="00E937D3"/>
    <w:rsid w:val="00EA64E9"/>
    <w:rsid w:val="00EB1323"/>
    <w:rsid w:val="00EC3C35"/>
    <w:rsid w:val="00ED1C31"/>
    <w:rsid w:val="00EE532E"/>
    <w:rsid w:val="00F168FC"/>
    <w:rsid w:val="00F21FE5"/>
    <w:rsid w:val="00F269F5"/>
    <w:rsid w:val="00F348B9"/>
    <w:rsid w:val="00F736D6"/>
    <w:rsid w:val="00F868E5"/>
    <w:rsid w:val="00FC3A9C"/>
    <w:rsid w:val="00FD5256"/>
    <w:rsid w:val="00F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B4E1"/>
  <w15:chartTrackingRefBased/>
  <w15:docId w15:val="{97981091-C900-42D9-8F4D-B2306DBC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6DC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A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59"/>
  </w:style>
  <w:style w:type="paragraph" w:styleId="Footer">
    <w:name w:val="footer"/>
    <w:basedOn w:val="Normal"/>
    <w:link w:val="FooterChar"/>
    <w:uiPriority w:val="99"/>
    <w:unhideWhenUsed/>
    <w:rsid w:val="003A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59"/>
  </w:style>
  <w:style w:type="character" w:styleId="CommentReference">
    <w:name w:val="annotation reference"/>
    <w:basedOn w:val="DefaultParagraphFont"/>
    <w:uiPriority w:val="99"/>
    <w:semiHidden/>
    <w:unhideWhenUsed/>
    <w:rsid w:val="001B3AFA"/>
    <w:rPr>
      <w:sz w:val="16"/>
      <w:szCs w:val="16"/>
    </w:rPr>
  </w:style>
  <w:style w:type="paragraph" w:styleId="CommentText">
    <w:name w:val="annotation text"/>
    <w:basedOn w:val="Normal"/>
    <w:link w:val="CommentTextChar"/>
    <w:uiPriority w:val="99"/>
    <w:semiHidden/>
    <w:unhideWhenUsed/>
    <w:rsid w:val="001B3AFA"/>
    <w:pPr>
      <w:spacing w:line="240" w:lineRule="auto"/>
    </w:pPr>
    <w:rPr>
      <w:sz w:val="20"/>
      <w:szCs w:val="20"/>
    </w:rPr>
  </w:style>
  <w:style w:type="character" w:customStyle="1" w:styleId="CommentTextChar">
    <w:name w:val="Comment Text Char"/>
    <w:basedOn w:val="DefaultParagraphFont"/>
    <w:link w:val="CommentText"/>
    <w:uiPriority w:val="99"/>
    <w:semiHidden/>
    <w:rsid w:val="001B3AFA"/>
    <w:rPr>
      <w:sz w:val="20"/>
      <w:szCs w:val="20"/>
    </w:rPr>
  </w:style>
  <w:style w:type="paragraph" w:styleId="CommentSubject">
    <w:name w:val="annotation subject"/>
    <w:basedOn w:val="CommentText"/>
    <w:next w:val="CommentText"/>
    <w:link w:val="CommentSubjectChar"/>
    <w:uiPriority w:val="99"/>
    <w:semiHidden/>
    <w:unhideWhenUsed/>
    <w:rsid w:val="001B3AFA"/>
    <w:rPr>
      <w:b/>
      <w:bCs/>
    </w:rPr>
  </w:style>
  <w:style w:type="character" w:customStyle="1" w:styleId="CommentSubjectChar">
    <w:name w:val="Comment Subject Char"/>
    <w:basedOn w:val="CommentTextChar"/>
    <w:link w:val="CommentSubject"/>
    <w:uiPriority w:val="99"/>
    <w:semiHidden/>
    <w:rsid w:val="001B3AFA"/>
    <w:rPr>
      <w:b/>
      <w:bCs/>
      <w:sz w:val="20"/>
      <w:szCs w:val="20"/>
    </w:rPr>
  </w:style>
  <w:style w:type="paragraph" w:styleId="BalloonText">
    <w:name w:val="Balloon Text"/>
    <w:basedOn w:val="Normal"/>
    <w:link w:val="BalloonTextChar"/>
    <w:uiPriority w:val="99"/>
    <w:semiHidden/>
    <w:unhideWhenUsed/>
    <w:rsid w:val="001B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FA"/>
    <w:rPr>
      <w:rFonts w:ascii="Segoe UI" w:hAnsi="Segoe UI" w:cs="Segoe UI"/>
      <w:sz w:val="18"/>
      <w:szCs w:val="18"/>
    </w:rPr>
  </w:style>
  <w:style w:type="paragraph" w:styleId="Revision">
    <w:name w:val="Revision"/>
    <w:hidden/>
    <w:uiPriority w:val="99"/>
    <w:semiHidden/>
    <w:rsid w:val="003D2EB7"/>
    <w:pPr>
      <w:spacing w:after="0" w:line="240" w:lineRule="auto"/>
    </w:pPr>
  </w:style>
  <w:style w:type="character" w:styleId="Hyperlink">
    <w:name w:val="Hyperlink"/>
    <w:basedOn w:val="DefaultParagraphFont"/>
    <w:uiPriority w:val="99"/>
    <w:semiHidden/>
    <w:unhideWhenUsed/>
    <w:rsid w:val="00990686"/>
    <w:rPr>
      <w:color w:val="0000FF"/>
      <w:u w:val="single"/>
    </w:rPr>
  </w:style>
  <w:style w:type="character" w:styleId="FollowedHyperlink">
    <w:name w:val="FollowedHyperlink"/>
    <w:basedOn w:val="DefaultParagraphFont"/>
    <w:uiPriority w:val="99"/>
    <w:semiHidden/>
    <w:unhideWhenUsed/>
    <w:rsid w:val="00DE0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9194-88F0-49DC-B348-4F656DC8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Colleen Picklo</cp:lastModifiedBy>
  <cp:revision>2</cp:revision>
  <dcterms:created xsi:type="dcterms:W3CDTF">2021-12-15T18:09:00Z</dcterms:created>
  <dcterms:modified xsi:type="dcterms:W3CDTF">2021-12-15T18:09:00Z</dcterms:modified>
</cp:coreProperties>
</file>